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4D5" w:rsidRPr="003876F2" w:rsidRDefault="003876F2" w:rsidP="003876F2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6F2">
        <w:rPr>
          <w:rFonts w:ascii="Times New Roman" w:hAnsi="Times New Roman" w:cs="Times New Roman"/>
          <w:b/>
          <w:sz w:val="32"/>
          <w:szCs w:val="32"/>
        </w:rPr>
        <w:t xml:space="preserve">3. </w:t>
      </w:r>
      <w:r>
        <w:rPr>
          <w:rFonts w:ascii="Times New Roman" w:hAnsi="Times New Roman" w:cs="Times New Roman"/>
          <w:b/>
          <w:sz w:val="32"/>
          <w:szCs w:val="32"/>
        </w:rPr>
        <w:t xml:space="preserve">Методологія стратегічного планування розвитку освіти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Перечинської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ОТГ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Вибір методологічних підходів і принципів здійснювався на основі аналізу всіх наявних сучасних інфо</w:t>
      </w:r>
      <w:r w:rsidR="00257B96">
        <w:rPr>
          <w:rFonts w:ascii="Times New Roman" w:hAnsi="Times New Roman" w:cs="Times New Roman"/>
          <w:sz w:val="28"/>
          <w:szCs w:val="28"/>
        </w:rPr>
        <w:t xml:space="preserve">рмаційних джерел. </w:t>
      </w:r>
      <w:r w:rsidRPr="003876F2">
        <w:rPr>
          <w:rFonts w:ascii="Times New Roman" w:hAnsi="Times New Roman" w:cs="Times New Roman"/>
          <w:sz w:val="28"/>
          <w:szCs w:val="28"/>
        </w:rPr>
        <w:t>Звісно, наявні інформаційні д</w:t>
      </w:r>
      <w:r w:rsidR="00257B96">
        <w:rPr>
          <w:rFonts w:ascii="Times New Roman" w:hAnsi="Times New Roman" w:cs="Times New Roman"/>
          <w:sz w:val="28"/>
          <w:szCs w:val="28"/>
        </w:rPr>
        <w:t xml:space="preserve">жерела </w:t>
      </w:r>
      <w:r w:rsidRPr="003876F2">
        <w:rPr>
          <w:rFonts w:ascii="Times New Roman" w:hAnsi="Times New Roman" w:cs="Times New Roman"/>
          <w:sz w:val="28"/>
          <w:szCs w:val="28"/>
        </w:rPr>
        <w:t>не описують і не рекомендують методологічних підходів задля реалізації п</w:t>
      </w:r>
      <w:r w:rsidR="00257B96">
        <w:rPr>
          <w:rFonts w:ascii="Times New Roman" w:hAnsi="Times New Roman" w:cs="Times New Roman"/>
          <w:sz w:val="28"/>
          <w:szCs w:val="28"/>
        </w:rPr>
        <w:t>роцесу стратегічного планування.</w:t>
      </w:r>
      <w:r w:rsidRPr="003876F2">
        <w:rPr>
          <w:rFonts w:ascii="Times New Roman" w:hAnsi="Times New Roman" w:cs="Times New Roman"/>
          <w:sz w:val="28"/>
          <w:szCs w:val="28"/>
        </w:rPr>
        <w:t xml:space="preserve"> Для цієї мети при розробці Стратегії напрацьовані додаткові методоло</w:t>
      </w:r>
      <w:r w:rsidR="00257B96">
        <w:rPr>
          <w:rFonts w:ascii="Times New Roman" w:hAnsi="Times New Roman" w:cs="Times New Roman"/>
          <w:sz w:val="28"/>
          <w:szCs w:val="28"/>
        </w:rPr>
        <w:t>гічні принципи і підходи.</w:t>
      </w:r>
      <w:r w:rsidRPr="003876F2">
        <w:rPr>
          <w:rFonts w:ascii="Times New Roman" w:hAnsi="Times New Roman" w:cs="Times New Roman"/>
          <w:sz w:val="28"/>
          <w:szCs w:val="28"/>
        </w:rPr>
        <w:t xml:space="preserve"> Зокрема, у Ст</w:t>
      </w:r>
      <w:r w:rsidR="00257B96">
        <w:rPr>
          <w:rFonts w:ascii="Times New Roman" w:hAnsi="Times New Roman" w:cs="Times New Roman"/>
          <w:sz w:val="28"/>
          <w:szCs w:val="28"/>
        </w:rPr>
        <w:t xml:space="preserve">ратегії використані такі </w:t>
      </w:r>
      <w:r w:rsidRPr="003876F2">
        <w:rPr>
          <w:rFonts w:ascii="Times New Roman" w:hAnsi="Times New Roman" w:cs="Times New Roman"/>
          <w:sz w:val="28"/>
          <w:szCs w:val="28"/>
        </w:rPr>
        <w:t>методологічні підх</w:t>
      </w:r>
      <w:r w:rsidR="00257B96">
        <w:rPr>
          <w:rFonts w:ascii="Times New Roman" w:hAnsi="Times New Roman" w:cs="Times New Roman"/>
          <w:sz w:val="28"/>
          <w:szCs w:val="28"/>
        </w:rPr>
        <w:t xml:space="preserve">оди і критерії щодо планування розвитку освіти </w:t>
      </w:r>
      <w:proofErr w:type="spellStart"/>
      <w:r w:rsidR="00257B96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 ОТГ:</w:t>
      </w:r>
    </w:p>
    <w:p w:rsidR="000074D5" w:rsidRPr="003876F2" w:rsidRDefault="000074D5" w:rsidP="00257B96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аргументованість переваг і перспектив саме </w:t>
      </w:r>
      <w:r w:rsidRPr="003876F2">
        <w:rPr>
          <w:rFonts w:ascii="Times New Roman" w:hAnsi="Times New Roman" w:cs="Times New Roman"/>
          <w:b/>
          <w:sz w:val="28"/>
          <w:szCs w:val="28"/>
        </w:rPr>
        <w:t>інтегрованого</w:t>
      </w:r>
      <w:r w:rsidRPr="003876F2">
        <w:rPr>
          <w:rFonts w:ascii="Times New Roman" w:hAnsi="Times New Roman" w:cs="Times New Roman"/>
          <w:sz w:val="28"/>
          <w:szCs w:val="28"/>
        </w:rPr>
        <w:t xml:space="preserve"> (гармонійного та не диспропорційного) економічного та соціального</w:t>
      </w:r>
      <w:r w:rsidR="00257B96">
        <w:rPr>
          <w:rFonts w:ascii="Times New Roman" w:hAnsi="Times New Roman" w:cs="Times New Roman"/>
          <w:sz w:val="28"/>
          <w:szCs w:val="28"/>
        </w:rPr>
        <w:t xml:space="preserve"> розвитку </w:t>
      </w:r>
      <w:r w:rsidR="00257B96" w:rsidRPr="00257B96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257B96" w:rsidRPr="00257B96">
        <w:rPr>
          <w:rFonts w:ascii="Times New Roman" w:hAnsi="Times New Roman" w:cs="Times New Roman"/>
          <w:sz w:val="28"/>
          <w:szCs w:val="28"/>
        </w:rPr>
        <w:t>Перечинської</w:t>
      </w:r>
      <w:r w:rsidRPr="003876F2">
        <w:rPr>
          <w:rFonts w:ascii="Times New Roman" w:hAnsi="Times New Roman" w:cs="Times New Roman"/>
          <w:sz w:val="28"/>
          <w:szCs w:val="28"/>
        </w:rPr>
        <w:t>ОТГ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 </w:t>
      </w:r>
      <w:r w:rsidRPr="003876F2">
        <w:rPr>
          <w:rFonts w:ascii="Times New Roman" w:hAnsi="Times New Roman" w:cs="Times New Roman"/>
          <w:b/>
          <w:sz w:val="28"/>
          <w:szCs w:val="28"/>
        </w:rPr>
        <w:t xml:space="preserve">на основі об’єктивного та неупередженого експертного аналізу, </w:t>
      </w:r>
      <w:r w:rsidRPr="003876F2">
        <w:rPr>
          <w:rFonts w:ascii="Times New Roman" w:hAnsi="Times New Roman" w:cs="Times New Roman"/>
          <w:sz w:val="28"/>
          <w:szCs w:val="28"/>
        </w:rPr>
        <w:t>у т.ч. в рамках цієї Стратегії;</w:t>
      </w:r>
    </w:p>
    <w:p w:rsidR="000074D5" w:rsidRPr="003876F2" w:rsidRDefault="000074D5" w:rsidP="00257B96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 xml:space="preserve">бюджетна підтримка </w:t>
      </w:r>
      <w:r w:rsidRPr="003876F2">
        <w:rPr>
          <w:rFonts w:ascii="Times New Roman" w:hAnsi="Times New Roman" w:cs="Times New Roman"/>
          <w:sz w:val="28"/>
          <w:szCs w:val="28"/>
        </w:rPr>
        <w:t xml:space="preserve">процесів </w:t>
      </w:r>
      <w:proofErr w:type="spellStart"/>
      <w:r w:rsidRPr="003876F2">
        <w:rPr>
          <w:rFonts w:ascii="Times New Roman" w:hAnsi="Times New Roman" w:cs="Times New Roman"/>
          <w:sz w:val="28"/>
          <w:szCs w:val="28"/>
        </w:rPr>
        <w:t>реформного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 становлення і розвитку </w:t>
      </w:r>
      <w:r w:rsidR="00257B96" w:rsidRPr="00257B96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257B96" w:rsidRPr="00257B96">
        <w:rPr>
          <w:rFonts w:ascii="Times New Roman" w:hAnsi="Times New Roman" w:cs="Times New Roman"/>
          <w:sz w:val="28"/>
          <w:szCs w:val="28"/>
        </w:rPr>
        <w:t>Перечинської</w:t>
      </w:r>
      <w:r w:rsidRPr="003876F2">
        <w:rPr>
          <w:rFonts w:ascii="Times New Roman" w:hAnsi="Times New Roman" w:cs="Times New Roman"/>
          <w:sz w:val="28"/>
          <w:szCs w:val="28"/>
        </w:rPr>
        <w:t>ОТГ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>, у т.ч. на основі Плану дій з реалізації цієї Стратегії;</w:t>
      </w:r>
    </w:p>
    <w:p w:rsidR="000074D5" w:rsidRPr="003876F2" w:rsidRDefault="000074D5" w:rsidP="00257B96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 xml:space="preserve">проектний підхід </w:t>
      </w:r>
      <w:r w:rsidR="009C70AB">
        <w:rPr>
          <w:rFonts w:ascii="Times New Roman" w:hAnsi="Times New Roman" w:cs="Times New Roman"/>
          <w:sz w:val="28"/>
          <w:szCs w:val="28"/>
        </w:rPr>
        <w:t xml:space="preserve">як до інтегрованого та </w:t>
      </w:r>
      <w:proofErr w:type="spellStart"/>
      <w:r w:rsidR="009C70AB">
        <w:rPr>
          <w:rFonts w:ascii="Times New Roman" w:hAnsi="Times New Roman" w:cs="Times New Roman"/>
          <w:sz w:val="28"/>
          <w:szCs w:val="28"/>
        </w:rPr>
        <w:t>не</w:t>
      </w:r>
      <w:r w:rsidRPr="003876F2">
        <w:rPr>
          <w:rFonts w:ascii="Times New Roman" w:hAnsi="Times New Roman" w:cs="Times New Roman"/>
          <w:sz w:val="28"/>
          <w:szCs w:val="28"/>
        </w:rPr>
        <w:t>диспропорційного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 економічного і соціального поточного розвитку </w:t>
      </w:r>
      <w:r w:rsidR="00257B96" w:rsidRPr="00257B96">
        <w:rPr>
          <w:rFonts w:ascii="Times New Roman" w:hAnsi="Times New Roman" w:cs="Times New Roman"/>
          <w:sz w:val="28"/>
          <w:szCs w:val="28"/>
        </w:rPr>
        <w:t>освіти Перечинської</w:t>
      </w:r>
      <w:r w:rsidRPr="003876F2">
        <w:rPr>
          <w:rFonts w:ascii="Times New Roman" w:hAnsi="Times New Roman" w:cs="Times New Roman"/>
          <w:sz w:val="28"/>
          <w:szCs w:val="28"/>
        </w:rPr>
        <w:t xml:space="preserve"> ОТГ, так і в рамках реалізації Плану дій з реалізації цієї Стратегії.</w:t>
      </w:r>
    </w:p>
    <w:p w:rsidR="009C70AB" w:rsidRDefault="009C70AB" w:rsidP="000074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74D5" w:rsidRPr="003876F2" w:rsidRDefault="009C70AB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е одним із важливих завдань Стратегії та використовуваних методологічних підходів і принципів – спрацювати на випередження з урахуванням також і впливів у динамічно змінних </w:t>
      </w:r>
      <w:proofErr w:type="spellStart"/>
      <w:r w:rsidR="000074D5" w:rsidRPr="003876F2">
        <w:rPr>
          <w:rFonts w:ascii="Times New Roman" w:hAnsi="Times New Roman" w:cs="Times New Roman"/>
          <w:sz w:val="28"/>
          <w:szCs w:val="28"/>
        </w:rPr>
        <w:t>реформних</w:t>
      </w:r>
      <w:proofErr w:type="spellEnd"/>
      <w:r w:rsidR="000074D5" w:rsidRPr="003876F2">
        <w:rPr>
          <w:rFonts w:ascii="Times New Roman" w:hAnsi="Times New Roman" w:cs="Times New Roman"/>
          <w:sz w:val="28"/>
          <w:szCs w:val="28"/>
        </w:rPr>
        <w:t xml:space="preserve"> умовах і зокрема – секторальних (галузевих) реформ.</w:t>
      </w:r>
    </w:p>
    <w:p w:rsidR="000074D5" w:rsidRPr="003876F2" w:rsidRDefault="009C70AB" w:rsidP="009C70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143625" cy="2705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3" cy="27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4D5" w:rsidRPr="003876F2" w:rsidRDefault="000074D5" w:rsidP="000074D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>1.1. Організаційний та підготовчий етап</w:t>
      </w:r>
    </w:p>
    <w:p w:rsidR="000074D5" w:rsidRPr="003876F2" w:rsidRDefault="001B2231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часових рамках цього етапу формується</w:t>
      </w:r>
      <w:r w:rsidR="009C70AB">
        <w:rPr>
          <w:rFonts w:ascii="Times New Roman" w:hAnsi="Times New Roman" w:cs="Times New Roman"/>
          <w:sz w:val="28"/>
          <w:szCs w:val="28"/>
        </w:rPr>
        <w:t xml:space="preserve"> склад Робочої групи з посадовців відділу освіти, культури, сім'ї, молоді та спорту </w:t>
      </w:r>
      <w:proofErr w:type="spellStart"/>
      <w:r w:rsidR="009C70AB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9C70AB">
        <w:rPr>
          <w:rFonts w:ascii="Times New Roman" w:hAnsi="Times New Roman" w:cs="Times New Roman"/>
          <w:sz w:val="28"/>
          <w:szCs w:val="28"/>
        </w:rPr>
        <w:t xml:space="preserve"> міської ради, директорів шкіл, дошкільних та позашкільних закладів, пр</w:t>
      </w:r>
      <w:r>
        <w:rPr>
          <w:rFonts w:ascii="Times New Roman" w:hAnsi="Times New Roman" w:cs="Times New Roman"/>
          <w:sz w:val="28"/>
          <w:szCs w:val="28"/>
        </w:rPr>
        <w:t>едставників від у</w:t>
      </w:r>
      <w:r w:rsidR="00C9510E">
        <w:rPr>
          <w:rFonts w:ascii="Times New Roman" w:hAnsi="Times New Roman" w:cs="Times New Roman"/>
          <w:sz w:val="28"/>
          <w:szCs w:val="28"/>
        </w:rPr>
        <w:t>чителів та батьків.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10E">
        <w:rPr>
          <w:rFonts w:ascii="Times New Roman" w:hAnsi="Times New Roman" w:cs="Times New Roman"/>
          <w:sz w:val="28"/>
          <w:szCs w:val="28"/>
        </w:rPr>
        <w:t>Ор</w:t>
      </w:r>
      <w:r w:rsidR="000074D5" w:rsidRPr="003876F2">
        <w:rPr>
          <w:rFonts w:ascii="Times New Roman" w:hAnsi="Times New Roman" w:cs="Times New Roman"/>
          <w:sz w:val="28"/>
          <w:szCs w:val="28"/>
        </w:rPr>
        <w:t>ганізаційні і робочі засідання обговорюють і затверджують плани заходів із розробки Стратегії з розподілом виконавців і термінів виконання окремих заходів. Залучення</w:t>
      </w:r>
      <w:r w:rsidR="00C9510E">
        <w:rPr>
          <w:rFonts w:ascii="Times New Roman" w:hAnsi="Times New Roman" w:cs="Times New Roman"/>
          <w:sz w:val="28"/>
          <w:szCs w:val="28"/>
        </w:rPr>
        <w:t xml:space="preserve"> усіх учасників освітнього процесу </w:t>
      </w:r>
      <w:r w:rsidR="000074D5" w:rsidRPr="003876F2">
        <w:rPr>
          <w:rFonts w:ascii="Times New Roman" w:hAnsi="Times New Roman" w:cs="Times New Roman"/>
          <w:sz w:val="28"/>
          <w:szCs w:val="28"/>
        </w:rPr>
        <w:t>підвищує довіру до розробки Стратегії та допомагає створити творчу атмосферу в самій ОТГ щодо розробки Стратегії.</w:t>
      </w:r>
    </w:p>
    <w:p w:rsidR="000074D5" w:rsidRPr="003876F2" w:rsidRDefault="000074D5" w:rsidP="000074D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>1.2. Аналітичний етап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На цьому етапі відбувався збір, узагальнення та аналіз статистичної і нестатистичної інформації з обов’язковою глибиною не менш</w:t>
      </w:r>
      <w:r w:rsidR="001B2231">
        <w:rPr>
          <w:rFonts w:ascii="Times New Roman" w:hAnsi="Times New Roman" w:cs="Times New Roman"/>
          <w:sz w:val="28"/>
          <w:szCs w:val="28"/>
        </w:rPr>
        <w:t xml:space="preserve">е 3 років, тобто, за період 2015 – 2017 </w:t>
      </w:r>
      <w:r w:rsidRPr="003876F2">
        <w:rPr>
          <w:rFonts w:ascii="Times New Roman" w:hAnsi="Times New Roman" w:cs="Times New Roman"/>
          <w:sz w:val="28"/>
          <w:szCs w:val="28"/>
        </w:rPr>
        <w:t>рр. У випадку нестатистичної інформації до уваги брались зві</w:t>
      </w:r>
      <w:r w:rsidR="00C9510E">
        <w:rPr>
          <w:rFonts w:ascii="Times New Roman" w:hAnsi="Times New Roman" w:cs="Times New Roman"/>
          <w:sz w:val="28"/>
          <w:szCs w:val="28"/>
        </w:rPr>
        <w:t xml:space="preserve">ти, інформації, </w:t>
      </w:r>
      <w:r w:rsidRPr="003876F2">
        <w:rPr>
          <w:rFonts w:ascii="Times New Roman" w:hAnsi="Times New Roman" w:cs="Times New Roman"/>
          <w:sz w:val="28"/>
          <w:szCs w:val="28"/>
        </w:rPr>
        <w:t>що мали пряме чи опосере</w:t>
      </w:r>
      <w:r w:rsidR="00C9510E">
        <w:rPr>
          <w:rFonts w:ascii="Times New Roman" w:hAnsi="Times New Roman" w:cs="Times New Roman"/>
          <w:sz w:val="28"/>
          <w:szCs w:val="28"/>
        </w:rPr>
        <w:t xml:space="preserve">дковане відношення до освіти </w:t>
      </w:r>
      <w:r w:rsidRPr="003876F2">
        <w:rPr>
          <w:rFonts w:ascii="Times New Roman" w:hAnsi="Times New Roman" w:cs="Times New Roman"/>
          <w:sz w:val="28"/>
          <w:szCs w:val="28"/>
        </w:rPr>
        <w:t>у сф</w:t>
      </w:r>
      <w:r w:rsidR="00C9510E">
        <w:rPr>
          <w:rFonts w:ascii="Times New Roman" w:hAnsi="Times New Roman" w:cs="Times New Roman"/>
          <w:sz w:val="28"/>
          <w:szCs w:val="28"/>
        </w:rPr>
        <w:t>ерах функціонування: організація освітнього процесу (ООП);</w:t>
      </w:r>
      <w:r w:rsidRPr="003876F2">
        <w:rPr>
          <w:rFonts w:ascii="Times New Roman" w:hAnsi="Times New Roman" w:cs="Times New Roman"/>
          <w:sz w:val="28"/>
          <w:szCs w:val="28"/>
        </w:rPr>
        <w:t xml:space="preserve"> соціальної</w:t>
      </w:r>
      <w:r w:rsidR="00C9510E">
        <w:rPr>
          <w:rFonts w:ascii="Times New Roman" w:hAnsi="Times New Roman" w:cs="Times New Roman"/>
          <w:sz w:val="28"/>
          <w:szCs w:val="28"/>
        </w:rPr>
        <w:t xml:space="preserve"> та економічної</w:t>
      </w:r>
      <w:r w:rsidRPr="003876F2">
        <w:rPr>
          <w:rFonts w:ascii="Times New Roman" w:hAnsi="Times New Roman" w:cs="Times New Roman"/>
          <w:sz w:val="28"/>
          <w:szCs w:val="28"/>
        </w:rPr>
        <w:t xml:space="preserve"> сфери; охорони природи і довкілля; розв</w:t>
      </w:r>
      <w:r w:rsidR="00C9510E">
        <w:rPr>
          <w:rFonts w:ascii="Times New Roman" w:hAnsi="Times New Roman" w:cs="Times New Roman"/>
          <w:sz w:val="28"/>
          <w:szCs w:val="28"/>
        </w:rPr>
        <w:t>итку інфраструктури</w:t>
      </w:r>
      <w:r w:rsidRPr="003876F2">
        <w:rPr>
          <w:rFonts w:ascii="Times New Roman" w:hAnsi="Times New Roman" w:cs="Times New Roman"/>
          <w:sz w:val="28"/>
          <w:szCs w:val="28"/>
        </w:rPr>
        <w:t>; транскордонного співробітництва та ін. У цьому сенсі кількісно-емпіричний аспект має тісний зв’язок із якісними аспектами явищ і об’єктів, що піддавались аналізу.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Соціально-економічний аналіз, порівняльні переваги, виклики, ризики і загрози, які</w:t>
      </w:r>
      <w:r w:rsidR="00C9510E">
        <w:rPr>
          <w:rFonts w:ascii="Times New Roman" w:hAnsi="Times New Roman" w:cs="Times New Roman"/>
          <w:sz w:val="28"/>
          <w:szCs w:val="28"/>
        </w:rPr>
        <w:t xml:space="preserve"> враховують специфіку освіти </w:t>
      </w:r>
      <w:proofErr w:type="spellStart"/>
      <w:r w:rsidR="00C9510E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C9510E">
        <w:rPr>
          <w:rFonts w:ascii="Times New Roman" w:hAnsi="Times New Roman" w:cs="Times New Roman"/>
          <w:sz w:val="28"/>
          <w:szCs w:val="28"/>
        </w:rPr>
        <w:t xml:space="preserve"> ОТГ,</w:t>
      </w:r>
      <w:r w:rsidRPr="003876F2">
        <w:rPr>
          <w:rFonts w:ascii="Times New Roman" w:hAnsi="Times New Roman" w:cs="Times New Roman"/>
          <w:sz w:val="28"/>
          <w:szCs w:val="28"/>
        </w:rPr>
        <w:t xml:space="preserve"> становлять основу процесу стратегічного</w:t>
      </w:r>
      <w:r w:rsidR="008D112E">
        <w:rPr>
          <w:rFonts w:ascii="Times New Roman" w:hAnsi="Times New Roman" w:cs="Times New Roman"/>
          <w:sz w:val="28"/>
          <w:szCs w:val="28"/>
        </w:rPr>
        <w:t xml:space="preserve"> планування </w:t>
      </w:r>
      <w:r w:rsidRPr="003876F2">
        <w:rPr>
          <w:rFonts w:ascii="Times New Roman" w:hAnsi="Times New Roman" w:cs="Times New Roman"/>
          <w:sz w:val="28"/>
          <w:szCs w:val="28"/>
        </w:rPr>
        <w:t>та шляхи розв’язання існуючих чи очікуваних або ж прогнозованих проблем і невирішених питань.</w:t>
      </w:r>
    </w:p>
    <w:p w:rsidR="000074D5" w:rsidRPr="003876F2" w:rsidRDefault="001B2231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Після аналізу й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оцінки поточної ситуації та визначення тенденцій розвитку за останні 3-5 років на основі даних статистичної і нестатистичної інформації необхідно було також здійснити і поглиблений аналіз </w:t>
      </w:r>
      <w:r w:rsidR="000074D5" w:rsidRPr="003876F2">
        <w:rPr>
          <w:rFonts w:ascii="Times New Roman" w:hAnsi="Times New Roman" w:cs="Times New Roman"/>
          <w:b/>
          <w:sz w:val="28"/>
          <w:szCs w:val="28"/>
        </w:rPr>
        <w:t>ресурсного потенціалу</w:t>
      </w:r>
      <w:r w:rsidR="008D112E">
        <w:rPr>
          <w:rFonts w:ascii="Times New Roman" w:hAnsi="Times New Roman" w:cs="Times New Roman"/>
          <w:b/>
          <w:sz w:val="28"/>
          <w:szCs w:val="28"/>
        </w:rPr>
        <w:t xml:space="preserve"> освіти</w:t>
      </w:r>
      <w:r w:rsidR="000074D5" w:rsidRPr="003876F2">
        <w:rPr>
          <w:rFonts w:ascii="Times New Roman" w:hAnsi="Times New Roman" w:cs="Times New Roman"/>
          <w:b/>
          <w:sz w:val="28"/>
          <w:szCs w:val="28"/>
        </w:rPr>
        <w:t xml:space="preserve"> ОТГ. 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Він включає такі види ресурсного потенціалу </w:t>
      </w:r>
      <w:r w:rsidR="008D112E">
        <w:rPr>
          <w:rFonts w:ascii="Times New Roman" w:hAnsi="Times New Roman" w:cs="Times New Roman"/>
          <w:sz w:val="28"/>
          <w:szCs w:val="28"/>
        </w:rPr>
        <w:t xml:space="preserve">освіти </w:t>
      </w:r>
      <w:r w:rsidR="000074D5" w:rsidRPr="003876F2">
        <w:rPr>
          <w:rFonts w:ascii="Times New Roman" w:hAnsi="Times New Roman" w:cs="Times New Roman"/>
          <w:sz w:val="28"/>
          <w:szCs w:val="28"/>
        </w:rPr>
        <w:t>ОТГ:</w:t>
      </w:r>
    </w:p>
    <w:p w:rsidR="000074D5" w:rsidRPr="003876F2" w:rsidRDefault="000074D5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природно-ресурсний потенціал;</w:t>
      </w:r>
    </w:p>
    <w:p w:rsidR="000074D5" w:rsidRPr="003876F2" w:rsidRDefault="000074D5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людський потенціал;</w:t>
      </w:r>
    </w:p>
    <w:p w:rsidR="000074D5" w:rsidRPr="003876F2" w:rsidRDefault="000074D5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економічний потенціал;</w:t>
      </w:r>
    </w:p>
    <w:p w:rsidR="000074D5" w:rsidRPr="003876F2" w:rsidRDefault="000074D5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просторово-економічний та інфраструктурний потенціал;</w:t>
      </w:r>
    </w:p>
    <w:p w:rsidR="000074D5" w:rsidRPr="003876F2" w:rsidRDefault="008D112E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потенціал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транскордонного співробітництва;</w:t>
      </w:r>
    </w:p>
    <w:p w:rsidR="000074D5" w:rsidRPr="003876F2" w:rsidRDefault="000074D5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управлінський потенціал;</w:t>
      </w:r>
    </w:p>
    <w:p w:rsidR="000074D5" w:rsidRPr="003876F2" w:rsidRDefault="000074D5" w:rsidP="000074D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потенціал мобілізації внутрішні</w:t>
      </w:r>
      <w:r w:rsidR="008D112E">
        <w:rPr>
          <w:rFonts w:ascii="Times New Roman" w:hAnsi="Times New Roman" w:cs="Times New Roman"/>
          <w:sz w:val="28"/>
          <w:szCs w:val="28"/>
        </w:rPr>
        <w:t xml:space="preserve">х ресурсів освітніх закладів </w:t>
      </w:r>
      <w:proofErr w:type="spellStart"/>
      <w:r w:rsidR="008D112E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8D112E">
        <w:rPr>
          <w:rFonts w:ascii="Times New Roman" w:hAnsi="Times New Roman" w:cs="Times New Roman"/>
          <w:sz w:val="28"/>
          <w:szCs w:val="28"/>
        </w:rPr>
        <w:t xml:space="preserve"> ОТГ</w:t>
      </w:r>
      <w:r w:rsidRPr="003876F2">
        <w:rPr>
          <w:rFonts w:ascii="Times New Roman" w:hAnsi="Times New Roman" w:cs="Times New Roman"/>
          <w:sz w:val="28"/>
          <w:szCs w:val="28"/>
        </w:rPr>
        <w:t>.</w:t>
      </w:r>
    </w:p>
    <w:p w:rsidR="000074D5" w:rsidRPr="003876F2" w:rsidRDefault="001B2231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методології аналізу й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оцінок було покладено SWOT-аналіз. 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Експертна робоча група (ЕРГ) узагальнила </w:t>
      </w:r>
      <w:r w:rsidR="001B2231">
        <w:rPr>
          <w:rFonts w:ascii="Times New Roman" w:hAnsi="Times New Roman" w:cs="Times New Roman"/>
          <w:b/>
          <w:sz w:val="28"/>
          <w:szCs w:val="28"/>
        </w:rPr>
        <w:t>переваг</w:t>
      </w:r>
      <w:r w:rsidRPr="003876F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8D112E">
        <w:rPr>
          <w:rFonts w:ascii="Times New Roman" w:hAnsi="Times New Roman" w:cs="Times New Roman"/>
          <w:sz w:val="28"/>
          <w:szCs w:val="28"/>
        </w:rPr>
        <w:t>освітніх закладів</w:t>
      </w:r>
      <w:r w:rsidRPr="003876F2">
        <w:rPr>
          <w:rFonts w:ascii="Times New Roman" w:hAnsi="Times New Roman" w:cs="Times New Roman"/>
          <w:sz w:val="28"/>
          <w:szCs w:val="28"/>
        </w:rPr>
        <w:t xml:space="preserve">, </w:t>
      </w:r>
      <w:r w:rsidRPr="003876F2">
        <w:rPr>
          <w:rFonts w:ascii="Times New Roman" w:hAnsi="Times New Roman" w:cs="Times New Roman"/>
          <w:b/>
          <w:sz w:val="28"/>
          <w:szCs w:val="28"/>
        </w:rPr>
        <w:t>можлив</w:t>
      </w:r>
      <w:r w:rsidR="001B2231">
        <w:rPr>
          <w:rFonts w:ascii="Times New Roman" w:hAnsi="Times New Roman" w:cs="Times New Roman"/>
          <w:b/>
          <w:sz w:val="28"/>
          <w:szCs w:val="28"/>
        </w:rPr>
        <w:t>ості для розвитку, недолік</w:t>
      </w:r>
      <w:r w:rsidRPr="003876F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3876F2">
        <w:rPr>
          <w:rFonts w:ascii="Times New Roman" w:hAnsi="Times New Roman" w:cs="Times New Roman"/>
          <w:sz w:val="28"/>
          <w:szCs w:val="28"/>
        </w:rPr>
        <w:t xml:space="preserve"> та </w:t>
      </w:r>
      <w:r w:rsidRPr="003876F2">
        <w:rPr>
          <w:rFonts w:ascii="Times New Roman" w:hAnsi="Times New Roman" w:cs="Times New Roman"/>
          <w:b/>
          <w:sz w:val="28"/>
          <w:szCs w:val="28"/>
        </w:rPr>
        <w:t>зовнішні загрози</w:t>
      </w:r>
      <w:r w:rsidRPr="003876F2">
        <w:rPr>
          <w:rFonts w:ascii="Times New Roman" w:hAnsi="Times New Roman" w:cs="Times New Roman"/>
          <w:sz w:val="28"/>
          <w:szCs w:val="28"/>
        </w:rPr>
        <w:t>, у тому числі в розрізі складників ресурсн</w:t>
      </w:r>
      <w:r w:rsidR="008D112E">
        <w:rPr>
          <w:rFonts w:ascii="Times New Roman" w:hAnsi="Times New Roman" w:cs="Times New Roman"/>
          <w:sz w:val="28"/>
          <w:szCs w:val="28"/>
        </w:rPr>
        <w:t>ого потенціалу</w:t>
      </w:r>
      <w:r w:rsidRPr="003876F2">
        <w:rPr>
          <w:rFonts w:ascii="Times New Roman" w:hAnsi="Times New Roman" w:cs="Times New Roman"/>
          <w:sz w:val="28"/>
          <w:szCs w:val="28"/>
        </w:rPr>
        <w:t xml:space="preserve">. Рішення ЕРГ здійснювались на </w:t>
      </w:r>
      <w:r w:rsidRPr="003876F2">
        <w:rPr>
          <w:rFonts w:ascii="Times New Roman" w:hAnsi="Times New Roman" w:cs="Times New Roman"/>
          <w:sz w:val="28"/>
          <w:szCs w:val="28"/>
        </w:rPr>
        <w:lastRenderedPageBreak/>
        <w:t>основі таких методів, як мозковий штурм, метод</w:t>
      </w:r>
      <w:r w:rsidR="001B2231">
        <w:rPr>
          <w:rFonts w:ascii="Times New Roman" w:hAnsi="Times New Roman" w:cs="Times New Roman"/>
          <w:sz w:val="28"/>
          <w:szCs w:val="28"/>
        </w:rPr>
        <w:t xml:space="preserve"> </w:t>
      </w:r>
      <w:r w:rsidRPr="003876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76F2">
        <w:rPr>
          <w:rFonts w:ascii="Times New Roman" w:hAnsi="Times New Roman" w:cs="Times New Roman"/>
          <w:sz w:val="28"/>
          <w:szCs w:val="28"/>
        </w:rPr>
        <w:t>Делфі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, діалектичне поєднання, що базуються </w:t>
      </w:r>
      <w:r w:rsidRPr="003876F2">
        <w:rPr>
          <w:rFonts w:ascii="Times New Roman" w:hAnsi="Times New Roman" w:cs="Times New Roman"/>
          <w:b/>
          <w:sz w:val="28"/>
          <w:szCs w:val="28"/>
        </w:rPr>
        <w:t xml:space="preserve">на системному підходах і аналізі, </w:t>
      </w:r>
      <w:r w:rsidRPr="003876F2">
        <w:rPr>
          <w:rFonts w:ascii="Times New Roman" w:hAnsi="Times New Roman" w:cs="Times New Roman"/>
          <w:sz w:val="28"/>
          <w:szCs w:val="28"/>
        </w:rPr>
        <w:t xml:space="preserve">у т.ч. з метою отримання </w:t>
      </w:r>
      <w:r w:rsidRPr="003876F2">
        <w:rPr>
          <w:rFonts w:ascii="Times New Roman" w:hAnsi="Times New Roman" w:cs="Times New Roman"/>
          <w:b/>
          <w:sz w:val="28"/>
          <w:szCs w:val="28"/>
        </w:rPr>
        <w:t xml:space="preserve"> синергетичного ефекту </w:t>
      </w:r>
      <w:r w:rsidRPr="003876F2">
        <w:rPr>
          <w:rFonts w:ascii="Times New Roman" w:hAnsi="Times New Roman" w:cs="Times New Roman"/>
          <w:sz w:val="28"/>
          <w:szCs w:val="28"/>
        </w:rPr>
        <w:t>(підсилення) взаємодії чинників у рамках складників SWOT-аналізу, які обґрунтовують Стратегічні та Операційні цілі і завдання.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Водночас, у визначенні стратегічних і операційних цілей та завдань брали до уваги результати спеціальн</w:t>
      </w:r>
      <w:r w:rsidR="008D112E">
        <w:rPr>
          <w:rFonts w:ascii="Times New Roman" w:hAnsi="Times New Roman" w:cs="Times New Roman"/>
          <w:sz w:val="28"/>
          <w:szCs w:val="28"/>
        </w:rPr>
        <w:t>ого анкетного опитування серед різноманітних</w:t>
      </w:r>
      <w:r w:rsidRPr="003876F2">
        <w:rPr>
          <w:rFonts w:ascii="Times New Roman" w:hAnsi="Times New Roman" w:cs="Times New Roman"/>
          <w:sz w:val="28"/>
          <w:szCs w:val="28"/>
        </w:rPr>
        <w:t xml:space="preserve"> цільов</w:t>
      </w:r>
      <w:r w:rsidR="008D112E">
        <w:rPr>
          <w:rFonts w:ascii="Times New Roman" w:hAnsi="Times New Roman" w:cs="Times New Roman"/>
          <w:sz w:val="28"/>
          <w:szCs w:val="28"/>
        </w:rPr>
        <w:t>их груп учасників освітнього процесу.</w:t>
      </w:r>
    </w:p>
    <w:p w:rsidR="000074D5" w:rsidRPr="003876F2" w:rsidRDefault="000074D5" w:rsidP="000074D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>1.3. Визначення стратегічного Бачення</w:t>
      </w:r>
    </w:p>
    <w:p w:rsidR="000074D5" w:rsidRPr="003876F2" w:rsidRDefault="008D112E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Керівники закладів освіти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ширили пакет з 4-х анкет серед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цільових</w:t>
      </w:r>
      <w:r>
        <w:rPr>
          <w:rFonts w:ascii="Times New Roman" w:hAnsi="Times New Roman" w:cs="Times New Roman"/>
          <w:sz w:val="28"/>
          <w:szCs w:val="28"/>
        </w:rPr>
        <w:t xml:space="preserve"> груп </w:t>
      </w:r>
      <w:r w:rsidRPr="008D112E">
        <w:rPr>
          <w:rFonts w:ascii="Times New Roman" w:hAnsi="Times New Roman" w:cs="Times New Roman"/>
          <w:sz w:val="28"/>
          <w:szCs w:val="28"/>
        </w:rPr>
        <w:t>учасників освітнього процесу</w:t>
      </w:r>
      <w:r w:rsidR="000074D5" w:rsidRPr="003876F2">
        <w:rPr>
          <w:rFonts w:ascii="Times New Roman" w:hAnsi="Times New Roman" w:cs="Times New Roman"/>
          <w:sz w:val="28"/>
          <w:szCs w:val="28"/>
        </w:rPr>
        <w:t>.</w:t>
      </w:r>
      <w:r w:rsidR="001B2231">
        <w:rPr>
          <w:rFonts w:ascii="Times New Roman" w:hAnsi="Times New Roman" w:cs="Times New Roman"/>
          <w:sz w:val="28"/>
          <w:szCs w:val="28"/>
        </w:rPr>
        <w:t xml:space="preserve"> ЕРГ обробила заповнені анкети й</w:t>
      </w:r>
      <w:r w:rsidR="000074D5" w:rsidRPr="003876F2">
        <w:rPr>
          <w:rFonts w:ascii="Times New Roman" w:hAnsi="Times New Roman" w:cs="Times New Roman"/>
          <w:sz w:val="28"/>
          <w:szCs w:val="28"/>
        </w:rPr>
        <w:t xml:space="preserve"> організувала обговорення їх результатів на засіданні робочої групи.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Результатом є обговорений і консолідований варіант Бачення майбутнього та різні</w:t>
      </w:r>
      <w:r w:rsidR="008D112E">
        <w:rPr>
          <w:rFonts w:ascii="Times New Roman" w:hAnsi="Times New Roman" w:cs="Times New Roman"/>
          <w:sz w:val="28"/>
          <w:szCs w:val="28"/>
        </w:rPr>
        <w:t xml:space="preserve"> варіанти пропозицій не більше 9</w:t>
      </w:r>
      <w:r w:rsidRPr="003876F2">
        <w:rPr>
          <w:rFonts w:ascii="Times New Roman" w:hAnsi="Times New Roman" w:cs="Times New Roman"/>
          <w:sz w:val="28"/>
          <w:szCs w:val="28"/>
        </w:rPr>
        <w:t xml:space="preserve"> стр</w:t>
      </w:r>
      <w:r w:rsidR="008D112E">
        <w:rPr>
          <w:rFonts w:ascii="Times New Roman" w:hAnsi="Times New Roman" w:cs="Times New Roman"/>
          <w:sz w:val="28"/>
          <w:szCs w:val="28"/>
        </w:rPr>
        <w:t>атегічних цілей розвитку освіти</w:t>
      </w:r>
      <w:r w:rsidRPr="003876F2">
        <w:rPr>
          <w:rFonts w:ascii="Times New Roman" w:hAnsi="Times New Roman" w:cs="Times New Roman"/>
          <w:sz w:val="28"/>
          <w:szCs w:val="28"/>
        </w:rPr>
        <w:t xml:space="preserve">, які уточнюються або змінюються уже за результатами характеристики соціально-економічного розвитку </w:t>
      </w:r>
      <w:r w:rsidR="008D112E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8D112E">
        <w:rPr>
          <w:rFonts w:ascii="Times New Roman" w:hAnsi="Times New Roman" w:cs="Times New Roman"/>
          <w:sz w:val="28"/>
          <w:szCs w:val="28"/>
        </w:rPr>
        <w:t>Перечинської</w:t>
      </w:r>
      <w:r w:rsidRPr="003876F2">
        <w:rPr>
          <w:rFonts w:ascii="Times New Roman" w:hAnsi="Times New Roman" w:cs="Times New Roman"/>
          <w:sz w:val="28"/>
          <w:szCs w:val="28"/>
        </w:rPr>
        <w:t>ОТГ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 і SWOT-аналізу – на наступному етапі.</w:t>
      </w:r>
    </w:p>
    <w:p w:rsidR="000074D5" w:rsidRPr="003876F2" w:rsidRDefault="000074D5" w:rsidP="000074D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>1.4. Формування Стратегічних, Операційних цілей і завдань та сценаріїв їх реалізації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 xml:space="preserve">Стратегічні цілі </w:t>
      </w:r>
      <w:r w:rsidRPr="003876F2">
        <w:rPr>
          <w:rFonts w:ascii="Times New Roman" w:hAnsi="Times New Roman" w:cs="Times New Roman"/>
          <w:sz w:val="28"/>
          <w:szCs w:val="28"/>
        </w:rPr>
        <w:t xml:space="preserve">визначаються на заданий стратегічний період до 2025 року на основі аналізу порівняльних переваг з урахуванням викликів, загроз і необхідного управління ризиками, що виникатимуть у процесах розвитку </w:t>
      </w:r>
      <w:r w:rsidR="00C81F19" w:rsidRPr="00C81F19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C81F19" w:rsidRPr="00C81F19">
        <w:rPr>
          <w:rFonts w:ascii="Times New Roman" w:hAnsi="Times New Roman" w:cs="Times New Roman"/>
          <w:sz w:val="28"/>
          <w:szCs w:val="28"/>
        </w:rPr>
        <w:t>Перечинської</w:t>
      </w:r>
      <w:r w:rsidRPr="003876F2">
        <w:rPr>
          <w:rFonts w:ascii="Times New Roman" w:hAnsi="Times New Roman" w:cs="Times New Roman"/>
          <w:sz w:val="28"/>
          <w:szCs w:val="28"/>
        </w:rPr>
        <w:t>ОТГ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>. До уваги брались також і результати анкетного опитування.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Стратегічні цілі узгоджувались (гармонізувались) з пріоритетними (стратегічними) ці</w:t>
      </w:r>
      <w:r w:rsidR="00C81F19">
        <w:rPr>
          <w:rFonts w:ascii="Times New Roman" w:hAnsi="Times New Roman" w:cs="Times New Roman"/>
          <w:sz w:val="28"/>
          <w:szCs w:val="28"/>
        </w:rPr>
        <w:t>лямиНаціональної стратегії</w:t>
      </w:r>
      <w:r w:rsidR="00C81F19" w:rsidRPr="00C81F19">
        <w:rPr>
          <w:rFonts w:ascii="Times New Roman" w:hAnsi="Times New Roman" w:cs="Times New Roman"/>
          <w:sz w:val="28"/>
          <w:szCs w:val="28"/>
        </w:rPr>
        <w:t xml:space="preserve"> розвитку освіти в Україні на період до 2021 року</w:t>
      </w:r>
      <w:r w:rsidRPr="003876F2">
        <w:rPr>
          <w:rFonts w:ascii="Times New Roman" w:hAnsi="Times New Roman" w:cs="Times New Roman"/>
          <w:sz w:val="28"/>
          <w:szCs w:val="28"/>
        </w:rPr>
        <w:t>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Стратегічні цілі конкретизуються в </w:t>
      </w:r>
      <w:r w:rsidRPr="003876F2">
        <w:rPr>
          <w:rFonts w:ascii="Times New Roman" w:hAnsi="Times New Roman" w:cs="Times New Roman"/>
          <w:b/>
          <w:sz w:val="28"/>
          <w:szCs w:val="28"/>
        </w:rPr>
        <w:t>Операційних цілях і завданнях.</w:t>
      </w:r>
    </w:p>
    <w:p w:rsidR="000074D5" w:rsidRPr="00C81F19" w:rsidRDefault="000074D5" w:rsidP="00C81F19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Можливі сценарії розвитку </w:t>
      </w:r>
      <w:r w:rsidR="00C81F19" w:rsidRPr="00C81F19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C81F19" w:rsidRPr="00C81F19">
        <w:rPr>
          <w:rFonts w:ascii="Times New Roman" w:hAnsi="Times New Roman" w:cs="Times New Roman"/>
          <w:sz w:val="28"/>
          <w:szCs w:val="28"/>
        </w:rPr>
        <w:t>Перечинської</w:t>
      </w:r>
      <w:r w:rsidRPr="003876F2">
        <w:rPr>
          <w:rFonts w:ascii="Times New Roman" w:hAnsi="Times New Roman" w:cs="Times New Roman"/>
          <w:sz w:val="28"/>
          <w:szCs w:val="28"/>
        </w:rPr>
        <w:t>ОТГ</w:t>
      </w:r>
      <w:proofErr w:type="spellEnd"/>
      <w:r w:rsidRPr="003876F2">
        <w:rPr>
          <w:rFonts w:ascii="Times New Roman" w:hAnsi="Times New Roman" w:cs="Times New Roman"/>
          <w:sz w:val="28"/>
          <w:szCs w:val="28"/>
        </w:rPr>
        <w:t xml:space="preserve"> формувались на основі сприятливості зовнішньо</w:t>
      </w:r>
      <w:r w:rsidR="001B2231">
        <w:rPr>
          <w:rFonts w:ascii="Times New Roman" w:hAnsi="Times New Roman" w:cs="Times New Roman"/>
          <w:sz w:val="28"/>
          <w:szCs w:val="28"/>
        </w:rPr>
        <w:t>го і внутрішнього середовищ та й</w:t>
      </w:r>
      <w:r w:rsidRPr="003876F2">
        <w:rPr>
          <w:rFonts w:ascii="Times New Roman" w:hAnsi="Times New Roman" w:cs="Times New Roman"/>
          <w:sz w:val="28"/>
          <w:szCs w:val="28"/>
        </w:rPr>
        <w:t>мовірного (передбачуваного) ресурсного забезпечення реалізації Операційних цілей і завдань.</w:t>
      </w:r>
    </w:p>
    <w:p w:rsidR="000074D5" w:rsidRPr="003876F2" w:rsidRDefault="000074D5" w:rsidP="000074D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>1.5. Етап громадського обговорення та ухвалення Стратегії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Громадське обговорення проекту Стратегії або її окремих частин організовували спільно</w:t>
      </w:r>
      <w:r w:rsidR="001B2231">
        <w:rPr>
          <w:rFonts w:ascii="Times New Roman" w:hAnsi="Times New Roman" w:cs="Times New Roman"/>
          <w:sz w:val="28"/>
          <w:szCs w:val="28"/>
        </w:rPr>
        <w:t xml:space="preserve"> з</w:t>
      </w:r>
      <w:r w:rsidRPr="003876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F19">
        <w:rPr>
          <w:rFonts w:ascii="Times New Roman" w:hAnsi="Times New Roman" w:cs="Times New Roman"/>
          <w:sz w:val="28"/>
          <w:szCs w:val="28"/>
        </w:rPr>
        <w:t>Перечинською</w:t>
      </w:r>
      <w:proofErr w:type="spellEnd"/>
      <w:r w:rsidR="00C81F19" w:rsidRPr="00C81F19">
        <w:rPr>
          <w:rFonts w:ascii="Times New Roman" w:hAnsi="Times New Roman" w:cs="Times New Roman"/>
          <w:sz w:val="28"/>
          <w:szCs w:val="28"/>
        </w:rPr>
        <w:t xml:space="preserve"> ОТГ </w:t>
      </w:r>
      <w:r w:rsidRPr="003876F2">
        <w:rPr>
          <w:rFonts w:ascii="Times New Roman" w:hAnsi="Times New Roman" w:cs="Times New Roman"/>
          <w:sz w:val="28"/>
          <w:szCs w:val="28"/>
        </w:rPr>
        <w:t>та ЕРГ у різних формах: круглі столи, громадські слухання, відкриті засідання та ін.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З урахуванням результатів громадського обговорення доопрацьована Стратегія подана на розгляд і ухвалення </w:t>
      </w:r>
      <w:proofErr w:type="spellStart"/>
      <w:r w:rsidR="00C81F19">
        <w:rPr>
          <w:rFonts w:ascii="Times New Roman" w:hAnsi="Times New Roman" w:cs="Times New Roman"/>
          <w:sz w:val="28"/>
          <w:szCs w:val="28"/>
        </w:rPr>
        <w:t>Перечинській</w:t>
      </w:r>
      <w:proofErr w:type="spellEnd"/>
      <w:r w:rsidR="00C81F19" w:rsidRPr="00C81F19">
        <w:rPr>
          <w:rFonts w:ascii="Times New Roman" w:hAnsi="Times New Roman" w:cs="Times New Roman"/>
          <w:sz w:val="28"/>
          <w:szCs w:val="28"/>
        </w:rPr>
        <w:t xml:space="preserve"> ОТГ </w:t>
      </w:r>
      <w:r w:rsidRPr="003876F2">
        <w:rPr>
          <w:rFonts w:ascii="Times New Roman" w:hAnsi="Times New Roman" w:cs="Times New Roman"/>
          <w:sz w:val="28"/>
          <w:szCs w:val="28"/>
        </w:rPr>
        <w:t>– як базовий управлінський документ розвитку</w:t>
      </w:r>
      <w:r w:rsidR="00C81F19">
        <w:rPr>
          <w:rFonts w:ascii="Times New Roman" w:hAnsi="Times New Roman" w:cs="Times New Roman"/>
          <w:sz w:val="28"/>
          <w:szCs w:val="28"/>
        </w:rPr>
        <w:t xml:space="preserve"> освіти</w:t>
      </w:r>
      <w:r w:rsidRPr="003876F2">
        <w:rPr>
          <w:rFonts w:ascii="Times New Roman" w:hAnsi="Times New Roman" w:cs="Times New Roman"/>
          <w:sz w:val="28"/>
          <w:szCs w:val="28"/>
        </w:rPr>
        <w:t xml:space="preserve"> ОТГ на період до 2025 року.</w:t>
      </w: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4D5" w:rsidRPr="003876F2" w:rsidRDefault="000074D5" w:rsidP="000074D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>1.6. Моніторинг та впровадження Стратегії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Перелік Стратегічних цілей та конкретизованих і відповідних їм Операційних цілей і завдань складають основу для розробки 2-ої частини Стратегії: Плану реалізації (як переліку узгоджених проектів стратегічного значення, які забезпечуються фінансовими та іншими ресурсами незалежно від джерела такого забезпечення впродовж терміну дії Стратегії).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>З метою моніторингу реалізації Стратегії формується система моніторингу, яка включає: Положення про систему моніторингу; склад моніторингового комітету і план його роботи; перелік показників та індикаторів в розрізі кожного Операційного завдання.</w:t>
      </w:r>
    </w:p>
    <w:p w:rsidR="000074D5" w:rsidRPr="003876F2" w:rsidRDefault="000074D5" w:rsidP="000074D5">
      <w:pPr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План реалізації Стратегії також має пройти громадське обговорення та ухвалення на пленарному засіданні </w:t>
      </w:r>
      <w:proofErr w:type="spellStart"/>
      <w:r w:rsidR="00C81F19" w:rsidRPr="00C81F19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C81F19" w:rsidRPr="00C81F19">
        <w:rPr>
          <w:rFonts w:ascii="Times New Roman" w:hAnsi="Times New Roman" w:cs="Times New Roman"/>
          <w:sz w:val="28"/>
          <w:szCs w:val="28"/>
        </w:rPr>
        <w:t xml:space="preserve"> ОТГ</w:t>
      </w:r>
      <w:r w:rsidRPr="003876F2">
        <w:rPr>
          <w:rFonts w:ascii="Times New Roman" w:hAnsi="Times New Roman" w:cs="Times New Roman"/>
          <w:sz w:val="28"/>
          <w:szCs w:val="28"/>
        </w:rPr>
        <w:t>.</w:t>
      </w: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4D5" w:rsidRPr="003876F2" w:rsidRDefault="00425F0C" w:rsidP="000074D5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F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group id="Полотно 202" o:spid="_x0000_s1044" editas="canvas" style="position:absolute;margin-left:0;margin-top:28.45pt;width:483.25pt;height:224.35pt;z-index:251659264;mso-position-horizontal:center;mso-position-horizontal-relative:page" coordsize="61372,28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width:61372;height:28492;visibility:visible">
              <v:fill o:detectmouseclick="t"/>
              <v:path o:connecttype="none"/>
            </v:shape>
            <v:line id="Line 38" o:spid="_x0000_s1046" style="position:absolute;visibility:visible" from="488,13716" to="1936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47" type="#_x0000_t202" style="position:absolute;left:15767;top:1143;width:29889;height:5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Kpb78A&#10;AADbAAAADwAAAGRycy9kb3ducmV2LnhtbERPyWrDMBC9F/IPYgq91VJNWoIbxTQtIb06Tu6DNbFN&#10;rJGx5KV/HxUKvc3jrbPNF9uJiQbfOtbwkigQxJUzLdcazuXheQPCB2SDnWPS8EMe8t3qYYuZcTMX&#10;NJ1CLWII+ww1NCH0mZS+asiiT1xPHLmrGyyGCIdamgHnGG47mSr1Ji22HBsa7Omzoep2Gq2Ga5mO&#10;+7a4fI2vak6PNkw3ZaTWT4/LxzuIQEv4F/+5v02cv4bfX+IBcnc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UqlvvwAAANsAAAAPAAAAAAAAAAAAAAAAAJgCAABkcnMvZG93bnJl&#10;di54bWxQSwUGAAAAAAQABAD1AAAAhAMAAAAA&#10;" filled="f" fillcolor="#205867">
              <v:textbox>
                <w:txbxContent>
                  <w:p w:rsidR="000074D5" w:rsidRPr="00B233F7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 w:rsidRPr="00B233F7">
                      <w:rPr>
                        <w:rFonts w:ascii="Times New Roman" w:hAnsi="Times New Roman"/>
                        <w:b/>
                        <w:sz w:val="24"/>
                      </w:rPr>
                      <w:t>Стратегічне Бачення</w:t>
                    </w:r>
                  </w:p>
                  <w:p w:rsidR="000074D5" w:rsidRPr="00B233F7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 w:rsidRPr="00B233F7">
                      <w:rPr>
                        <w:rFonts w:ascii="Times New Roman" w:hAnsi="Times New Roman"/>
                        <w:b/>
                        <w:sz w:val="24"/>
                      </w:rPr>
                      <w:t>Місія</w:t>
                    </w:r>
                  </w:p>
                  <w:p w:rsidR="000074D5" w:rsidRPr="006D2C1B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color w:val="FFFFFF"/>
                        <w:sz w:val="24"/>
                      </w:rPr>
                    </w:pPr>
                    <w:r w:rsidRPr="006D2C1B">
                      <w:rPr>
                        <w:rFonts w:ascii="Times New Roman" w:hAnsi="Times New Roman"/>
                        <w:b/>
                        <w:color w:val="FFFFFF"/>
                        <w:sz w:val="24"/>
                      </w:rPr>
                      <w:t>Місія</w:t>
                    </w:r>
                  </w:p>
                </w:txbxContent>
              </v:textbox>
            </v:shape>
            <v:shape id="Text Box 33" o:spid="_x0000_s1048" type="#_x0000_t202" style="position:absolute;left:488;top:6858;width:1828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9TTMMA&#10;AADbAAAADwAAAGRycy9kb3ducmV2LnhtbESPQUvDQBSE74L/YXlCb3aTUovEbktpEYoHxdZLb4/s&#10;M1mafRuyz2T9964geBxm5htmvU2+UyMN0QU2UM4LUMR1sI4bAx/n5/tHUFGQLXaBycA3Rdhubm/W&#10;WNkw8TuNJ2lUhnCs0EAr0ldax7olj3EeeuLsfYbBo2Q5NNoOOGW47/SiKFbao+O80GJP+5bq6+nL&#10;G3DycpheU/l2Xl34Mjq/TPJwNGZ2l3ZPoISS/If/2kdrYFHC75f8A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9TTMMAAADbAAAADwAAAAAAAAAAAAAAAACYAgAAZHJzL2Rv&#10;d25yZXYueG1sUEsFBgAAAAAEAAQA9QAAAIgDAAAAAA==&#10;" filled="f" fillcolor="#92cddc">
              <v:textbox>
                <w:txbxContent>
                  <w:p w:rsidR="000074D5" w:rsidRPr="006D2C1B" w:rsidRDefault="000074D5" w:rsidP="000074D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Стратегічна ціль 1</w:t>
                    </w:r>
                  </w:p>
                </w:txbxContent>
              </v:textbox>
            </v:shape>
            <v:shape id="Text Box 34" o:spid="_x0000_s1049" type="#_x0000_t202" style="position:absolute;left:20491;top:6858;width:20276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3NO8MA&#10;AADbAAAADwAAAGRycy9kb3ducmV2LnhtbESPQUvDQBSE74L/YXlCb3bTUIvEbktpEYoHxdZLb4/s&#10;M1mafRuyz2T9964geBxm5htmvU2+UyMN0QU2sJgXoIjrYB03Bj7Oz/ePoKIgW+wCk4FvirDd3N6s&#10;sbJh4ncaT9KoDOFYoYFWpK+0jnVLHuM89MTZ+wyDR8lyaLQdcMpw3+myKFbao+O80GJP+5bq6+nL&#10;G3Dycphe0+LtvLrwZXR+meThaMzsLu2eQAkl+Q//tY/WQFnC75f8A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3NO8MAAADbAAAADwAAAAAAAAAAAAAAAACYAgAAZHJzL2Rv&#10;d25yZXYueG1sUEsFBgAAAAAEAAQA9QAAAIgDAAAAAA==&#10;" filled="f" fillcolor="#92cddc">
              <v:textbox>
                <w:txbxContent>
                  <w:p w:rsidR="000074D5" w:rsidRPr="006D2C1B" w:rsidRDefault="000074D5" w:rsidP="000074D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Стратегічна ціль 2</w:t>
                    </w:r>
                  </w:p>
                  <w:p w:rsidR="000074D5" w:rsidRPr="006D2C1B" w:rsidRDefault="000074D5" w:rsidP="000074D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shape id="Text Box 35" o:spid="_x0000_s1050" type="#_x0000_t202" style="position:absolute;left:42475;top:6858;width:18897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FooMQA&#10;AADbAAAADwAAAGRycy9kb3ducmV2LnhtbESPT0sDMRTE74LfITzBm822ainbpkWUQvGg9M+lt8fm&#10;dTe4eVk2r7vx2xtB8DjMzG+Y1Sb5Vg3URxfYwHRSgCKugnVcGzgdtw8LUFGQLbaBycA3Rdisb29W&#10;WNow8p6Gg9QqQziWaKAR6UqtY9WQxzgJHXH2LqH3KFn2tbY9jhnuWz0rirn26DgvNNjRa0PV1+Hq&#10;DTh5fxs/0vTzOD/zeXD+Kcnzzpj7u/SyBCWU5D/8195ZA7NH+P2Sf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aKDEAAAA2wAAAA8AAAAAAAAAAAAAAAAAmAIAAGRycy9k&#10;b3ducmV2LnhtbFBLBQYAAAAABAAEAPUAAACJAwAAAAA=&#10;" filled="f" fillcolor="#92cddc">
              <v:textbox>
                <w:txbxContent>
                  <w:p w:rsidR="000074D5" w:rsidRPr="006D2C1B" w:rsidRDefault="000074D5" w:rsidP="000074D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Стратегічна ціль 3</w:t>
                    </w:r>
                  </w:p>
                  <w:p w:rsidR="000074D5" w:rsidRPr="006D2C1B" w:rsidRDefault="000074D5" w:rsidP="000074D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shape id="Text Box 36" o:spid="_x0000_s1051" type="#_x0000_t202" style="position:absolute;left:1936;top:12573;width:15202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<v:textbox>
                <w:txbxContent>
                  <w:p w:rsidR="000074D5" w:rsidRPr="006D2C1B" w:rsidRDefault="000074D5" w:rsidP="000074D5">
                    <w:pPr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szCs w:val="20"/>
                      </w:rPr>
                      <w:t>Операційна ціль 1.1</w:t>
                    </w:r>
                  </w:p>
                </w:txbxContent>
              </v:textbox>
            </v:shape>
            <v:shape id="Text Box 37" o:spid="_x0000_s1052" type="#_x0000_t202" style="position:absolute;left:495;top:22834;width:18275;height:4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>
                <w:txbxContent>
                  <w:p w:rsidR="000074D5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Проект </w:t>
                    </w:r>
                    <w:r w:rsidRPr="006D2C1B">
                      <w:rPr>
                        <w:rFonts w:ascii="Times New Roman" w:hAnsi="Times New Roman"/>
                        <w:sz w:val="18"/>
                        <w:szCs w:val="18"/>
                      </w:rPr>
                      <w:t>1.1.1.</w:t>
                    </w:r>
                  </w:p>
                  <w:p w:rsidR="000074D5" w:rsidRPr="006D2C1B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до Стратегічної цілі 1</w:t>
                    </w:r>
                  </w:p>
                </w:txbxContent>
              </v:textbox>
            </v:shape>
            <v:shape id="Text Box 41" o:spid="_x0000_s1053" type="#_x0000_t202" style="position:absolute;left:20491;top:22834;width:20276;height:4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<v:textbox>
                <w:txbxContent>
                  <w:p w:rsidR="000074D5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Проект 2</w:t>
                    </w:r>
                    <w:r w:rsidRPr="006D2C1B">
                      <w:rPr>
                        <w:rFonts w:ascii="Times New Roman" w:hAnsi="Times New Roman"/>
                        <w:sz w:val="18"/>
                        <w:szCs w:val="18"/>
                      </w:rPr>
                      <w:t>.1.1.</w:t>
                    </w:r>
                  </w:p>
                  <w:p w:rsidR="000074D5" w:rsidRPr="006D2C1B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до Стратегічної цілі 2</w:t>
                    </w:r>
                  </w:p>
                  <w:p w:rsidR="000074D5" w:rsidRPr="00C3298E" w:rsidRDefault="000074D5" w:rsidP="000074D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line id="Line 42" o:spid="_x0000_s1054" style="position:absolute;visibility:visible" from="21482,13716" to="23348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shape id="Text Box 45" o:spid="_x0000_s1055" type="#_x0000_t202" style="position:absolute;left:42481;top:22834;width:18891;height:4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<v:textbox>
                <w:txbxContent>
                  <w:p w:rsidR="000074D5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Проект 3</w:t>
                    </w:r>
                    <w:r w:rsidRPr="006D2C1B">
                      <w:rPr>
                        <w:rFonts w:ascii="Times New Roman" w:hAnsi="Times New Roman"/>
                        <w:sz w:val="18"/>
                        <w:szCs w:val="18"/>
                      </w:rPr>
                      <w:t>.1.1.</w:t>
                    </w:r>
                  </w:p>
                  <w:p w:rsidR="000074D5" w:rsidRPr="006D2C1B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до Стратегічної цілі 3</w:t>
                    </w:r>
                  </w:p>
                  <w:p w:rsidR="000074D5" w:rsidRPr="00C3298E" w:rsidRDefault="000074D5" w:rsidP="000074D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v:line id="Line 46" o:spid="_x0000_s1056" style="position:absolute;visibility:visible" from="42475,11430" to="4248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47" o:spid="_x0000_s1057" style="position:absolute;visibility:visible" from="42475,13716" to="439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0" o:spid="_x0000_s1058" style="position:absolute;visibility:visible" from="488,11430" to="495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1" o:spid="_x0000_s1059" style="position:absolute;visibility:visible" from="21482,11430" to="21488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<v:shape id="Text Box 52" o:spid="_x0000_s1060" type="#_x0000_t202" style="position:absolute;left:23291;top:12573;width:15564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31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8w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g31sMAAADcAAAADwAAAAAAAAAAAAAAAACYAgAAZHJzL2Rv&#10;d25yZXYueG1sUEsFBgAAAAAEAAQA9QAAAIgDAAAAAA==&#10;">
              <v:textbox>
                <w:txbxContent>
                  <w:p w:rsidR="000074D5" w:rsidRPr="006D2C1B" w:rsidRDefault="000074D5" w:rsidP="000074D5">
                    <w:pPr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szCs w:val="20"/>
                      </w:rPr>
                      <w:t>Операційна ціль 2.1</w:t>
                    </w:r>
                  </w:p>
                  <w:p w:rsidR="000074D5" w:rsidRPr="00B233F7" w:rsidRDefault="000074D5" w:rsidP="000074D5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Text Box 53" o:spid="_x0000_s1061" type="#_x0000_t202" style="position:absolute;left:43922;top:12573;width:15202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<v:textbox>
                <w:txbxContent>
                  <w:p w:rsidR="000074D5" w:rsidRPr="006D2C1B" w:rsidRDefault="000074D5" w:rsidP="000074D5">
                    <w:pPr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szCs w:val="20"/>
                      </w:rPr>
                      <w:t>Операційна ціль 3.1</w:t>
                    </w:r>
                  </w:p>
                  <w:p w:rsidR="000074D5" w:rsidRPr="006D2C1B" w:rsidRDefault="000074D5" w:rsidP="000074D5">
                    <w:pPr>
                      <w:rPr>
                        <w:rFonts w:ascii="Times New Roman" w:hAnsi="Times New Roman"/>
                        <w:b/>
                        <w:szCs w:val="20"/>
                      </w:rPr>
                    </w:pPr>
                    <w:r w:rsidRPr="006D2C1B">
                      <w:rPr>
                        <w:rFonts w:ascii="Times New Roman" w:hAnsi="Times New Roman"/>
                        <w:b/>
                        <w:szCs w:val="20"/>
                      </w:rPr>
                      <w:t>С.1.</w:t>
                    </w:r>
                  </w:p>
                </w:txbxContent>
              </v:textbox>
            </v:shape>
            <v:shape id="Text Box 32" o:spid="_x0000_s1062" type="#_x0000_t202" style="position:absolute;left:488;top:17900;width:60884;height:2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Ni8AA&#10;AADcAAAADwAAAGRycy9kb3ducmV2LnhtbERPyWrDMBC9F/IPYgK51VINLq0bxTQpJb0mbu+DNbFN&#10;rJGx5CV/HxUKvc3jrbMtFtuJiQbfOtbwlCgQxJUzLdcavsvPxxcQPiAb7ByThht5KHarhy3mxs18&#10;oukcahFD2OeooQmhz6X0VUMWfeJ64shd3GAxRDjU0gw4x3DbyVSpZ2mx5djQYE+HhqrrebQaLmU6&#10;7tvTz8eYqTk92jBdlZFab9bL+xuIQEv4F/+5v0yc/5rB7zPxArm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4UNi8AAAADcAAAADwAAAAAAAAAAAAAAAACYAgAAZHJzL2Rvd25y&#10;ZXYueG1sUEsFBgAAAAAEAAQA9QAAAIUDAAAAAA==&#10;" filled="f" fillcolor="#205867">
              <v:textbox>
                <w:txbxContent>
                  <w:p w:rsidR="000074D5" w:rsidRPr="006D2C1B" w:rsidRDefault="000074D5" w:rsidP="000074D5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color w:val="FFFFFF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Проекти Стратегічного значення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63" type="#_x0000_t32" style="position:absolute;left:9258;top:15557;width:0;height:23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CG/M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QhvzDAAAA3AAAAA8AAAAAAAAAAAAA&#10;AAAAoQIAAGRycy9kb3ducmV2LnhtbFBLBQYAAAAABAAEAPkAAACRAwAAAAA=&#10;">
              <v:stroke endarrow="block"/>
            </v:shape>
            <v:shape id="AutoShape 26" o:spid="_x0000_s1064" type="#_x0000_t32" style="position:absolute;left:30962;top:15557;width:6;height:23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wjZ8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J++wO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CNnxAAAANwAAAAPAAAAAAAAAAAA&#10;AAAAAKECAABkcnMvZG93bnJldi54bWxQSwUGAAAAAAQABAD5AAAAkgMAAAAA&#10;">
              <v:stroke endarrow="block"/>
            </v:shape>
            <v:shape id="AutoShape 27" o:spid="_x0000_s1065" type="#_x0000_t32" style="position:absolute;left:51796;top:15557;width:7;height:23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3FcYAAADcAAAADwAAAGRycy9kb3ducmV2LnhtbESPQWvCQBCF74X+h2UK3urGHqRJXUUE&#10;pVh6UEtob0N2TILZ2bC7auyvdw6F3mZ4b977ZrYYXKcuFGLr2cBknIEirrxtuTbwdVg/v4KKCdli&#10;55kM3CjCYv74MMPC+ivv6LJPtZIQjgUaaFLqC61j1ZDDOPY9sWhHHxwmWUOtbcCrhLtOv2TZVDts&#10;WRoa7GnVUHXan52B74/8XN7KT9qWk3z7g8HF38PGmNHTsHwDlWhI/+a/63cr+LnQyjMygZ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DtxXGAAAA3AAAAA8AAAAAAAAA&#10;AAAAAAAAoQIAAGRycy9kb3ducmV2LnhtbFBLBQYAAAAABAAEAPkAAACUAwAAAAA=&#10;">
              <v:stroke endarrow="block"/>
            </v:shape>
            <v:shape id="AutoShape 28" o:spid="_x0000_s1066" type="#_x0000_t32" style="position:absolute;left:9251;top:20485;width:7;height:23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8Sjs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y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PEo7DAAAA3AAAAA8AAAAAAAAAAAAA&#10;AAAAoQIAAGRycy9kb3ducmV2LnhtbFBLBQYAAAAABAAEAPkAAACRAwAAAAA=&#10;">
              <v:stroke endarrow="block"/>
            </v:shape>
            <v:shape id="AutoShape 29" o:spid="_x0000_s1067" type="#_x0000_t32" style="position:absolute;left:30962;top:20478;width:6;height:23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pP6MUAAADcAAAADwAAAGRycy9kb3ducmV2LnhtbESPT2vCQBTE74V+h+UVeqsbPZQaXaUU&#10;WiTSQ1WC3h7ZZxLMvg27a/746buFgsdhZn7DLNeDaURHzteWFUwnCQjiwuqaSwWH/efLGwgfkDU2&#10;lknBSB7Wq8eHJaba9vxD3S6UIkLYp6igCqFNpfRFRQb9xLbE0TtbZzBE6UqpHfYRbho5S5JXabDm&#10;uFBhSx8VFZfd1Sg4bufXfMy/Kcun8+yEzvjb/kup56fhfQEi0BDu4f/2RiuIRPg7E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pP6MUAAADcAAAADwAAAAAAAAAA&#10;AAAAAAChAgAAZHJzL2Rvd25yZXYueG1sUEsFBgAAAAAEAAQA+QAAAJMDAAAAAA==&#10;">
              <v:stroke endarrow="block"/>
            </v:shape>
            <v:shape id="AutoShape 30" o:spid="_x0000_s1068" type="#_x0000_t32" style="position:absolute;left:51803;top:20485;width:6;height:23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bqc8UAAADcAAAADwAAAGRycy9kb3ducmV2LnhtbESPQWvCQBSE7wX/w/IEb3UTD6LRVYqg&#10;iOJBLcHeHtnXJDT7NuyuGv31bqHQ4zAz3zDzZWcacSPna8sK0mECgriwuuZSwed5/T4B4QOyxsYy&#10;KXiQh+Wi9zbHTNs7H+l2CqWIEPYZKqhCaDMpfVGRQT+0LXH0vq0zGKJ0pdQO7xFuGjlKkrE0WHNc&#10;qLClVUXFz+lqFFz202v+yA+0y9Pp7gud8c/zRqlBv/uYgQjUhf/wX3urFYySFH7PxCMgF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9bqc8UAAADcAAAADwAAAAAAAAAA&#10;AAAAAAChAgAAZHJzL2Rvd25yZXYueG1sUEsFBgAAAAAEAAQA+QAAAJMDAAAAAA==&#10;">
              <v:stroke endarrow="block"/>
            </v:shape>
            <w10:wrap type="square" anchorx="page"/>
          </v:group>
        </w:pict>
      </w:r>
      <w:r w:rsidR="000074D5" w:rsidRPr="00387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 побудови «дерева цілей»</w:t>
      </w: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F2">
        <w:rPr>
          <w:rFonts w:ascii="Times New Roman" w:hAnsi="Times New Roman" w:cs="Times New Roman"/>
          <w:b/>
          <w:sz w:val="28"/>
          <w:szCs w:val="28"/>
        </w:rPr>
        <w:t xml:space="preserve">Стратегічне планування </w:t>
      </w:r>
      <w:r w:rsidR="006D3A33">
        <w:rPr>
          <w:rFonts w:ascii="Times New Roman" w:hAnsi="Times New Roman" w:cs="Times New Roman"/>
          <w:b/>
          <w:sz w:val="28"/>
          <w:szCs w:val="28"/>
        </w:rPr>
        <w:t>(СП) базувало</w:t>
      </w:r>
      <w:r w:rsidRPr="003876F2">
        <w:rPr>
          <w:rFonts w:ascii="Times New Roman" w:hAnsi="Times New Roman" w:cs="Times New Roman"/>
          <w:b/>
          <w:sz w:val="28"/>
          <w:szCs w:val="28"/>
        </w:rPr>
        <w:t>сь на основних принципах:</w:t>
      </w:r>
    </w:p>
    <w:tbl>
      <w:tblPr>
        <w:tblStyle w:val="a4"/>
        <w:tblW w:w="9526" w:type="dxa"/>
        <w:tblInd w:w="108" w:type="dxa"/>
        <w:tblLook w:val="04A0"/>
      </w:tblPr>
      <w:tblGrid>
        <w:gridCol w:w="675"/>
        <w:gridCol w:w="2721"/>
        <w:gridCol w:w="6130"/>
      </w:tblGrid>
      <w:tr w:rsidR="000074D5" w:rsidRPr="003876F2" w:rsidTr="001F2D39">
        <w:tc>
          <w:tcPr>
            <w:tcW w:w="675" w:type="dxa"/>
            <w:vAlign w:val="center"/>
          </w:tcPr>
          <w:p w:rsidR="000074D5" w:rsidRPr="003876F2" w:rsidRDefault="000074D5" w:rsidP="00DD71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21" w:type="dxa"/>
            <w:vAlign w:val="center"/>
          </w:tcPr>
          <w:p w:rsidR="000074D5" w:rsidRPr="003876F2" w:rsidRDefault="000074D5" w:rsidP="00DD71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Формулювання принципу</w:t>
            </w:r>
          </w:p>
        </w:tc>
        <w:tc>
          <w:tcPr>
            <w:tcW w:w="6130" w:type="dxa"/>
            <w:vAlign w:val="center"/>
          </w:tcPr>
          <w:p w:rsidR="000074D5" w:rsidRPr="003876F2" w:rsidRDefault="000074D5" w:rsidP="00DD71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Короткий опис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Партнерство </w:t>
            </w:r>
            <w:r w:rsidR="00C81F19">
              <w:rPr>
                <w:rFonts w:ascii="Times New Roman" w:hAnsi="Times New Roman" w:cs="Times New Roman"/>
                <w:sz w:val="28"/>
                <w:szCs w:val="28"/>
              </w:rPr>
              <w:t xml:space="preserve">(зацікавлених сторін освітнього процесу – ЗСОП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нової ОТГ)</w:t>
            </w:r>
          </w:p>
        </w:tc>
        <w:tc>
          <w:tcPr>
            <w:tcW w:w="6130" w:type="dxa"/>
          </w:tcPr>
          <w:p w:rsidR="000074D5" w:rsidRPr="003876F2" w:rsidRDefault="000074D5" w:rsidP="00C81F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Напрямки і характер стратегічного розвитку формуються за результатами конструктивної і взаємовигідної співпраці, дискусій та консультацій, які спрямовані на досягнення узгодженост</w:t>
            </w:r>
            <w:r w:rsidR="00C81F19">
              <w:rPr>
                <w:rFonts w:ascii="Times New Roman" w:hAnsi="Times New Roman" w:cs="Times New Roman"/>
                <w:sz w:val="28"/>
                <w:szCs w:val="28"/>
              </w:rPr>
              <w:t>і (консенсусу) між основними ЗСОП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нової ОТГ: </w:t>
            </w:r>
            <w:r w:rsidR="00C81F19">
              <w:rPr>
                <w:rFonts w:ascii="Times New Roman" w:hAnsi="Times New Roman" w:cs="Times New Roman"/>
                <w:sz w:val="28"/>
                <w:szCs w:val="28"/>
              </w:rPr>
              <w:t>керівниками освітніх закладів, представниками вчителів та батьків;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1F19">
              <w:rPr>
                <w:rFonts w:ascii="Times New Roman" w:hAnsi="Times New Roman" w:cs="Times New Roman"/>
                <w:sz w:val="28"/>
                <w:szCs w:val="28"/>
              </w:rPr>
              <w:t>представниками місце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 xml:space="preserve">вого самоврядування,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охорони здоров’я, соціаль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>ного захисту, культури, спорту 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оздоро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влення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учнів та ін.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Спільність участ</w:t>
            </w:r>
            <w:r w:rsidR="00AF103C">
              <w:rPr>
                <w:rFonts w:ascii="Times New Roman" w:hAnsi="Times New Roman" w:cs="Times New Roman"/>
                <w:b/>
                <w:sz w:val="28"/>
                <w:szCs w:val="28"/>
              </w:rPr>
              <w:t>і через «піраміду залучення» ЗСОП</w:t>
            </w:r>
          </w:p>
          <w:p w:rsidR="000074D5" w:rsidRPr="003876F2" w:rsidRDefault="00AF103C" w:rsidP="00DD71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(розподіл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за можливостями)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Забезпечує максимально можливу уч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асть зацікавлених сторін освіти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у заходах, акціях і діях процесу стратегічного планування на різних його етапах з оптимальним  і е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фективним їх залученням через так звану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«піраміду залучення»: до ключових і визначальних та скелетних елементів Стратегії – Ба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>чення майбутнього, Стратегічні 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Операційні цілі та Операційні завдання – залучається максимально можл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ива  кількість представників ЗСОП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, у т.ч. через анкетування; до діагностики стану розвитку громади, SWOT – аналізу та написання проекту Стратегії і Плану її реалізації залучаються експерти, у т.ч. з числа наукових і громадських організацій; до обговорення проекту Стратегії, внесення коригувань і доповнень - знову залучається максимально мож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лива кількість представників ЗСОП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Ефективність дорадчо-консультативних роб</w:t>
            </w:r>
            <w:r w:rsidR="00AF10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очих та моніторингових утворень </w:t>
            </w: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процесу </w:t>
            </w:r>
            <w:r w:rsidR="00B376FF">
              <w:rPr>
                <w:rFonts w:ascii="Times New Roman" w:hAnsi="Times New Roman" w:cs="Times New Roman"/>
                <w:b/>
                <w:sz w:val="28"/>
                <w:szCs w:val="28"/>
              </w:rPr>
              <w:t>СП</w:t>
            </w:r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(як результат дотримання всіх інших принципів і підходів)</w:t>
            </w:r>
          </w:p>
        </w:tc>
        <w:tc>
          <w:tcPr>
            <w:tcW w:w="6130" w:type="dxa"/>
          </w:tcPr>
          <w:p w:rsidR="000074D5" w:rsidRPr="003876F2" w:rsidRDefault="00AF103C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початкових етапах процесу 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утворюються дорадчо-консульт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ативні і робочі органи процесу</w:t>
            </w:r>
            <w:r w:rsidR="00B376FF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– Дорадчий комітет і Робоча група – з чітким розподілом завдань і повноважень, відображеними у положеннях про ці органи (див.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дод</w:t>
            </w:r>
            <w:proofErr w:type="spellEnd"/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.). Персональний склад Дорадчого комітету і Робочої групи ретельно підбир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ається з числа представників ЗСОП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зазвичай у пропорції: 50%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- представни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учасників освітнього процесу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; 50%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-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ксперти та інші представники ЗСОП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На завершаль</w:t>
            </w:r>
            <w:r w:rsidR="00AF103C">
              <w:rPr>
                <w:rFonts w:ascii="Times New Roman" w:hAnsi="Times New Roman" w:cs="Times New Roman"/>
                <w:sz w:val="28"/>
                <w:szCs w:val="28"/>
              </w:rPr>
              <w:t>них етапах процесу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за такими ж підходами формуються Моніторинговий Комітет реалізації Стратегії. Для затвердження положень і складу Дорадчого комітету, Робочої групи і Моніторингового комітету достатньо розпорядження голови місцевої ради та згоди цих утворень, які не є посадовцями міської ради.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Життєздатність як процесу СП, так і </w:t>
            </w: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Стратегії загалом</w:t>
            </w:r>
          </w:p>
          <w:p w:rsidR="000074D5" w:rsidRPr="003876F2" w:rsidRDefault="001A10EF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(внутріш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ні логіка, послідовність, збалансованість, дотримання методології)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Виходить з розуміння того, що процес СП, о</w:t>
            </w:r>
            <w:r w:rsidR="00B376FF">
              <w:rPr>
                <w:rFonts w:ascii="Times New Roman" w:hAnsi="Times New Roman" w:cs="Times New Roman"/>
                <w:sz w:val="28"/>
                <w:szCs w:val="28"/>
              </w:rPr>
              <w:t>тримавши формальний старт у 2018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р., уже не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має за</w:t>
            </w:r>
            <w:r w:rsidR="001B2231">
              <w:rPr>
                <w:rFonts w:ascii="Times New Roman" w:hAnsi="Times New Roman" w:cs="Times New Roman"/>
                <w:sz w:val="28"/>
                <w:szCs w:val="28"/>
              </w:rPr>
              <w:t>кінчення, а лише проміжні фініші 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етапи аж до одного з них: підсумку виконання цієї Стратегії до 2025 р. і підготовку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 xml:space="preserve"> етапу розробки нової Ст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тегії. Основою життєздатності як процесу СП, так і Стратегії загалом є забезпечення впродовж процесу СП належних збалансованості та послідовності всіх її внутрішніх елементів (Бачення, Стратегічних і Операційних цілей та завдань, заходів – проектів, моніторингу і коригування та ін.) через використання усіх задекларованих методо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>логічних підходів і принципів. У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цьому ж сенсі життєздатності процесу СП і Стратегії загалом вкрай важливим є також забезпечення: професійного аналізу по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рівняльних переваг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, визначених за результатами SWOT – аналізу (</w:t>
            </w:r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розбудова можливостей, котрі послаблюють гостроту недоліків і проблем; для виявлення синергії між недоліками та загрозами, яка негативно впливає на життєздатність (ризик-менеджмент), застосовується матриця слабких сторін і загроз)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. Водночас застосування експертного аналізу задля забезпечення життєздатності як процесу СП, так і Стратегії загалом - потребує д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остовірних і статистичних даних.</w:t>
            </w:r>
          </w:p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Щодо нестатистичних, але достовірних д</w:t>
            </w:r>
            <w:r w:rsidR="00B376FF">
              <w:rPr>
                <w:rFonts w:ascii="Times New Roman" w:hAnsi="Times New Roman" w:cs="Times New Roman"/>
                <w:sz w:val="28"/>
                <w:szCs w:val="28"/>
              </w:rPr>
              <w:t>аних, то ефективне залучення ЗСОП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та досвідчених експертів спроможне вирішити цю проблему.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Субсидіарність</w:t>
            </w:r>
            <w:proofErr w:type="spellEnd"/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(на рівні ОТГ)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Закріплює визначення і планування стратегічних заходів, починаючи з найнижчого рівня – з використанням ресурсного потенціалу, що планується для реалізації Стратегії.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Інтеграція</w:t>
            </w:r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F2D39">
              <w:rPr>
                <w:rFonts w:ascii="Times New Roman" w:hAnsi="Times New Roman" w:cs="Times New Roman"/>
                <w:sz w:val="28"/>
                <w:szCs w:val="28"/>
              </w:rPr>
              <w:t>іжтериторіальна</w:t>
            </w:r>
            <w:proofErr w:type="spellEnd"/>
            <w:r w:rsidR="001F2D39">
              <w:rPr>
                <w:rFonts w:ascii="Times New Roman" w:hAnsi="Times New Roman" w:cs="Times New Roman"/>
                <w:sz w:val="28"/>
                <w:szCs w:val="28"/>
              </w:rPr>
              <w:t>» та «транскордонна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Забезпечується за двома напрямками: 1) Інтеграція спільних місцевих потреб на рівні ОТГ з територіальної та змістовної точок зору </w:t>
            </w:r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(означає, що досягнення певної мети на рівні ОТГ автомати</w:t>
            </w:r>
            <w:r w:rsidR="006D3A33">
              <w:rPr>
                <w:rFonts w:ascii="Times New Roman" w:hAnsi="Times New Roman" w:cs="Times New Roman"/>
                <w:i/>
                <w:sz w:val="28"/>
                <w:szCs w:val="28"/>
              </w:rPr>
              <w:t>чно дає позитивний ефект</w:t>
            </w:r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);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в цьому випадку інтеграція забезпечується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 xml:space="preserve"> шляхом активної участі всіх 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ЗСОП</w:t>
            </w:r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(«</w:t>
            </w:r>
            <w:proofErr w:type="spellStart"/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міжтериторіальна</w:t>
            </w:r>
            <w:proofErr w:type="spellEnd"/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інтеграція»).</w:t>
            </w:r>
          </w:p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2) Інтеграція як багатовимірний план розвитку пріоритетних секторів та напрямків страт</w:t>
            </w:r>
            <w:r w:rsidR="001F2D39">
              <w:rPr>
                <w:rFonts w:ascii="Times New Roman" w:hAnsi="Times New Roman" w:cs="Times New Roman"/>
                <w:sz w:val="28"/>
                <w:szCs w:val="28"/>
              </w:rPr>
              <w:t>егічної діяльності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. У цьому се</w:t>
            </w:r>
            <w:r w:rsidR="001F2D39">
              <w:rPr>
                <w:rFonts w:ascii="Times New Roman" w:hAnsi="Times New Roman" w:cs="Times New Roman"/>
                <w:sz w:val="28"/>
                <w:szCs w:val="28"/>
              </w:rPr>
              <w:t>нсі такий напрямок як «</w:t>
            </w:r>
            <w:r w:rsidR="001F2D39" w:rsidRPr="001F2D39">
              <w:rPr>
                <w:rFonts w:ascii="Times New Roman" w:hAnsi="Times New Roman" w:cs="Times New Roman"/>
                <w:sz w:val="28"/>
                <w:szCs w:val="28"/>
              </w:rPr>
              <w:t>транскордонна</w:t>
            </w:r>
            <w:r w:rsidR="001F2D39">
              <w:rPr>
                <w:rFonts w:ascii="Times New Roman" w:hAnsi="Times New Roman" w:cs="Times New Roman"/>
                <w:sz w:val="28"/>
                <w:szCs w:val="28"/>
              </w:rPr>
              <w:t>» інтеграція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забезпечує зосередження уваги на сумісності (узгодженості) та синергетичних ефектах від планованих і здійснюваних заходів-проектів.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Інституційна пам'ять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(щодо попередніх стратегій чи стратегічних управлінських документів)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Сутність принципу полягає в тому, що у роботі над проектом Стратегії обов’язково використовуються або ж беруться до уваги  як позитивні, так і негативні результати (</w:t>
            </w:r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з аналізом причин допущених недоліків і прорахунків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) попередніх Стратегій або ж інших планувальних та управлінських документів, програм розвитку і рішень, які мають ст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ратегічний характер.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Ієрархія стратегічних планів</w:t>
            </w:r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(різних територіальних рівнів)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Стратегія розвитку 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освіти у Закарпатській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області, 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Національна стратегія</w:t>
            </w:r>
            <w:r w:rsidR="006D3A33" w:rsidRPr="006D3A33">
              <w:rPr>
                <w:rFonts w:ascii="Times New Roman" w:hAnsi="Times New Roman" w:cs="Times New Roman"/>
                <w:sz w:val="28"/>
                <w:szCs w:val="28"/>
              </w:rPr>
              <w:t xml:space="preserve"> розвитку освіти в Україні на період до 2021 року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 xml:space="preserve"> Вони можуть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включати навіть стратегічні заходи – проекти, що реалізуються в ОТГ. 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>Стратегії вищого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рівня закла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>дають підвалини для визначення 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узгодження конкретних Стратегічних і Операційних цілей та заходів – проектів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 xml:space="preserve"> і для Стратегії розвитку освіти </w:t>
            </w:r>
            <w:proofErr w:type="spellStart"/>
            <w:r w:rsidR="006D3A33"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 w:rsidR="001A1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ОТГ. Більше того, по відношенню до стратегій вищого територіального рівня Стратегія  розвитку</w:t>
            </w:r>
            <w:r w:rsidR="006D3A33">
              <w:rPr>
                <w:rFonts w:ascii="Times New Roman" w:hAnsi="Times New Roman" w:cs="Times New Roman"/>
                <w:sz w:val="28"/>
                <w:szCs w:val="28"/>
              </w:rPr>
              <w:t xml:space="preserve"> освіти </w:t>
            </w:r>
            <w:proofErr w:type="spellStart"/>
            <w:r w:rsidR="006D3A33"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ОТГ становить змістовну платформу для 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враховування</w:t>
            </w:r>
            <w:proofErr w:type="spellEnd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і забезпечення на їх рівнях тих самих принципів процесу СП: партнерства, спільної участі, 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субсидіарності</w:t>
            </w:r>
            <w:proofErr w:type="spellEnd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, інтеграції, інституційної пам’яті та ін.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1F2D39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074D5"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Інноваційність</w:t>
            </w:r>
            <w:proofErr w:type="spellEnd"/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(вузьке  проектне і широке – методологічне значення)</w:t>
            </w:r>
          </w:p>
        </w:tc>
        <w:tc>
          <w:tcPr>
            <w:tcW w:w="6130" w:type="dxa"/>
          </w:tcPr>
          <w:p w:rsidR="000074D5" w:rsidRPr="003876F2" w:rsidRDefault="001A10EF" w:rsidP="00DD714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широкому розумінні цей принцип стосується загалом усіх складових процесу СП, для якого стосовно розробки страте</w:t>
            </w:r>
            <w:r w:rsidR="000545EF">
              <w:rPr>
                <w:rFonts w:ascii="Times New Roman" w:hAnsi="Times New Roman" w:cs="Times New Roman"/>
                <w:sz w:val="28"/>
                <w:szCs w:val="28"/>
              </w:rPr>
              <w:t xml:space="preserve">гій розвитку освіти 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немає усталених і нормативно затверджених на урядовому рівні методичних рекомендацій.</w:t>
            </w:r>
          </w:p>
          <w:p w:rsidR="000074D5" w:rsidRPr="003876F2" w:rsidRDefault="000074D5" w:rsidP="001F2D3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У вузькому розумінні 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інноваційність</w:t>
            </w:r>
            <w:proofErr w:type="spellEnd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віднесена до розробки Плану дій з реалізації Стратегії через пропозиції саме інноваційних проектів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реалізації Стратегічних і Операційних цілей, що забезпечує одне з найзначиміших завдань власне самої Стратегії –</w:t>
            </w:r>
            <w:r w:rsidR="001F2D39">
              <w:rPr>
                <w:rFonts w:ascii="Times New Roman" w:hAnsi="Times New Roman" w:cs="Times New Roman"/>
                <w:sz w:val="28"/>
                <w:szCs w:val="28"/>
              </w:rPr>
              <w:t xml:space="preserve"> формування високої якості освіти і зокрема формування високих життєвих цінностей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у визначеному періоді процесу СП.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1F2D39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  <w:r w:rsidR="000074D5"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Прозорість та </w:t>
            </w:r>
            <w:proofErr w:type="spellStart"/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комунікативність</w:t>
            </w:r>
            <w:proofErr w:type="spellEnd"/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процесу СП</w:t>
            </w:r>
          </w:p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(вузько-як постійний інформаційний обмін між учасниками СП; 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широко-</w:t>
            </w:r>
            <w:proofErr w:type="spellEnd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відкритість для всієї ОТГ)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Від якісного, багатостороннього, продуманого, вчасного і повного інформаційного об</w:t>
            </w:r>
            <w:r w:rsidR="000545EF">
              <w:rPr>
                <w:rFonts w:ascii="Times New Roman" w:hAnsi="Times New Roman" w:cs="Times New Roman"/>
                <w:sz w:val="28"/>
                <w:szCs w:val="28"/>
              </w:rPr>
              <w:t>міну між усіма учасниками та ЗСОП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процесу СП суттєво залежать як реалізація усіх перелічених вище 10 ме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одологічних принципів і підходів, так і успішність самого процесу СП та власне розроблюваної Стратегії розвитку </w:t>
            </w:r>
            <w:r w:rsidR="000545EF" w:rsidRPr="000545EF">
              <w:rPr>
                <w:rFonts w:ascii="Times New Roman" w:hAnsi="Times New Roman" w:cs="Times New Roman"/>
                <w:sz w:val="28"/>
                <w:szCs w:val="28"/>
              </w:rPr>
              <w:t xml:space="preserve">освіти </w:t>
            </w:r>
            <w:proofErr w:type="spellStart"/>
            <w:r w:rsidR="000545EF" w:rsidRPr="000545EF"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 w:rsidR="001A1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ОТГ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а також -  ступеню її 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консолідованост</w:t>
            </w:r>
            <w:r w:rsidR="001A10EF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="001A10EF">
              <w:rPr>
                <w:rFonts w:ascii="Times New Roman" w:hAnsi="Times New Roman" w:cs="Times New Roman"/>
                <w:sz w:val="28"/>
                <w:szCs w:val="28"/>
              </w:rPr>
              <w:t xml:space="preserve"> й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узгодженості серед ЗСГ.</w:t>
            </w:r>
          </w:p>
          <w:p w:rsidR="000074D5" w:rsidRPr="003876F2" w:rsidRDefault="001A10EF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широкому розумінні прозорість і </w:t>
            </w:r>
            <w:proofErr w:type="spellStart"/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комунікативність</w:t>
            </w:r>
            <w:proofErr w:type="spellEnd"/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процесу СП орієнтовані на жителів ОТГ загалом 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забезпечуються через мас-медіа й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офіційні сайти місцевих рад та здійснюються на постійній основі (</w:t>
            </w:r>
            <w:r w:rsidR="000074D5"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включаючи період розробки Страт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егії і наступн</w:t>
            </w:r>
            <w:r w:rsidR="000074D5"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ий період моніторингу її реалізації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У вузькому розумінні прозорість і </w:t>
            </w:r>
            <w:proofErr w:type="spellStart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комунікативність</w:t>
            </w:r>
            <w:proofErr w:type="spellEnd"/>
            <w:r w:rsidRPr="003876F2">
              <w:rPr>
                <w:rFonts w:ascii="Times New Roman" w:hAnsi="Times New Roman" w:cs="Times New Roman"/>
                <w:sz w:val="28"/>
                <w:szCs w:val="28"/>
              </w:rPr>
              <w:t xml:space="preserve"> забезпечуються на етапах розробки Стратегії між усіма учасниками процесу СП, включаючи Робочу групу, Дорадчий комітет, представників місцевих рад, орг</w:t>
            </w:r>
            <w:r w:rsidR="000545EF">
              <w:rPr>
                <w:rFonts w:ascii="Times New Roman" w:hAnsi="Times New Roman" w:cs="Times New Roman"/>
                <w:sz w:val="28"/>
                <w:szCs w:val="28"/>
              </w:rPr>
              <w:t>анів державної влади та всіх ЗСОП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, більш широке коло жителів ОТГ.</w:t>
            </w:r>
          </w:p>
        </w:tc>
      </w:tr>
      <w:tr w:rsidR="000074D5" w:rsidRPr="003876F2" w:rsidTr="001F2D39">
        <w:tc>
          <w:tcPr>
            <w:tcW w:w="675" w:type="dxa"/>
          </w:tcPr>
          <w:p w:rsidR="000074D5" w:rsidRPr="003876F2" w:rsidRDefault="001F2D39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bookmarkStart w:id="0" w:name="_GoBack"/>
            <w:bookmarkEnd w:id="0"/>
            <w:r w:rsidR="000074D5"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721" w:type="dxa"/>
          </w:tcPr>
          <w:p w:rsidR="000074D5" w:rsidRPr="003876F2" w:rsidRDefault="000074D5" w:rsidP="00DD714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Диверсифікація фінансових і ресурсних джерел реалізації Стратегії </w:t>
            </w:r>
          </w:p>
          <w:p w:rsidR="000074D5" w:rsidRPr="003876F2" w:rsidRDefault="001A10EF" w:rsidP="00DD714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(зайви</w:t>
            </w:r>
            <w:r w:rsidR="000074D5" w:rsidRPr="003876F2">
              <w:rPr>
                <w:rFonts w:ascii="Times New Roman" w:hAnsi="Times New Roman" w:cs="Times New Roman"/>
                <w:sz w:val="28"/>
                <w:szCs w:val="28"/>
              </w:rPr>
              <w:t>х для СП ресурсів не буває)</w:t>
            </w:r>
          </w:p>
        </w:tc>
        <w:tc>
          <w:tcPr>
            <w:tcW w:w="6130" w:type="dxa"/>
          </w:tcPr>
          <w:p w:rsidR="000074D5" w:rsidRPr="003876F2" w:rsidRDefault="000074D5" w:rsidP="00DD714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Цей принцип передбачає залучення до Плану реалізації Стратегії усіх можливих фінансових і ресурсних джерел: бюджетів різних рівнів; приватного капіталу (</w:t>
            </w:r>
            <w:r w:rsidRPr="003876F2">
              <w:rPr>
                <w:rFonts w:ascii="Times New Roman" w:hAnsi="Times New Roman" w:cs="Times New Roman"/>
                <w:i/>
                <w:sz w:val="28"/>
                <w:szCs w:val="28"/>
              </w:rPr>
              <w:t>державно-приватне партнерство</w:t>
            </w:r>
            <w:r w:rsidRPr="003876F2">
              <w:rPr>
                <w:rFonts w:ascii="Times New Roman" w:hAnsi="Times New Roman" w:cs="Times New Roman"/>
                <w:sz w:val="28"/>
                <w:szCs w:val="28"/>
              </w:rPr>
              <w:t>); інших інвестиційних програм і проектів; грантів міжнародної технічної допомоги; мобілізації внутрішніх ресурсів громад у різних формах та ін.</w:t>
            </w:r>
          </w:p>
        </w:tc>
      </w:tr>
    </w:tbl>
    <w:p w:rsidR="000074D5" w:rsidRPr="003876F2" w:rsidRDefault="000074D5" w:rsidP="000074D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90D" w:rsidRPr="003876F2" w:rsidRDefault="000074D5" w:rsidP="001A10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6F2">
        <w:rPr>
          <w:rFonts w:ascii="Times New Roman" w:hAnsi="Times New Roman" w:cs="Times New Roman"/>
          <w:sz w:val="28"/>
          <w:szCs w:val="28"/>
        </w:rPr>
        <w:t xml:space="preserve">У самому процесі стратегічного планування в основу розробки Стратегії були покладені такі основні методологічні підходи і принципи, відображені й описані у вищенаведеній таблиці. В їх переліку не фігурує </w:t>
      </w:r>
      <w:r w:rsidRPr="003876F2">
        <w:rPr>
          <w:rFonts w:ascii="Times New Roman" w:hAnsi="Times New Roman" w:cs="Times New Roman"/>
          <w:b/>
          <w:sz w:val="28"/>
          <w:szCs w:val="28"/>
        </w:rPr>
        <w:t>підхід відповідності принципу сталого (збалансованого) розвитку громади</w:t>
      </w:r>
      <w:r w:rsidRPr="003876F2">
        <w:rPr>
          <w:rFonts w:ascii="Times New Roman" w:hAnsi="Times New Roman" w:cs="Times New Roman"/>
          <w:sz w:val="28"/>
          <w:szCs w:val="28"/>
        </w:rPr>
        <w:t xml:space="preserve">, який прийнято </w:t>
      </w:r>
      <w:r w:rsidRPr="003876F2">
        <w:rPr>
          <w:rFonts w:ascii="Times New Roman" w:hAnsi="Times New Roman" w:cs="Times New Roman"/>
          <w:sz w:val="28"/>
          <w:szCs w:val="28"/>
        </w:rPr>
        <w:lastRenderedPageBreak/>
        <w:t xml:space="preserve">вважати нині </w:t>
      </w:r>
      <w:r w:rsidRPr="003876F2">
        <w:rPr>
          <w:rFonts w:ascii="Times New Roman" w:hAnsi="Times New Roman" w:cs="Times New Roman"/>
          <w:b/>
          <w:sz w:val="28"/>
          <w:szCs w:val="28"/>
        </w:rPr>
        <w:t>безумовним</w:t>
      </w:r>
      <w:r w:rsidRPr="003876F2">
        <w:rPr>
          <w:rFonts w:ascii="Times New Roman" w:hAnsi="Times New Roman" w:cs="Times New Roman"/>
          <w:sz w:val="28"/>
          <w:szCs w:val="28"/>
        </w:rPr>
        <w:t xml:space="preserve"> і який за своєю сутністю відображає гармонізацію економічної, екологічної і соціальної складових розвитку територій та громад.</w:t>
      </w:r>
    </w:p>
    <w:sectPr w:rsidR="00BC190D" w:rsidRPr="003876F2" w:rsidSect="00425F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C85"/>
    <w:multiLevelType w:val="hybridMultilevel"/>
    <w:tmpl w:val="07FA721A"/>
    <w:lvl w:ilvl="0" w:tplc="20DAA7F6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FAE339D"/>
    <w:multiLevelType w:val="hybridMultilevel"/>
    <w:tmpl w:val="E816134A"/>
    <w:lvl w:ilvl="0" w:tplc="D9C60D2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74D5"/>
    <w:rsid w:val="000074D5"/>
    <w:rsid w:val="000545EF"/>
    <w:rsid w:val="001A10EF"/>
    <w:rsid w:val="001B2231"/>
    <w:rsid w:val="001F2D39"/>
    <w:rsid w:val="00257B96"/>
    <w:rsid w:val="003876F2"/>
    <w:rsid w:val="003F1D99"/>
    <w:rsid w:val="00425F0C"/>
    <w:rsid w:val="006D3A33"/>
    <w:rsid w:val="008D112E"/>
    <w:rsid w:val="009C70AB"/>
    <w:rsid w:val="00AF103C"/>
    <w:rsid w:val="00B376FF"/>
    <w:rsid w:val="00B874C6"/>
    <w:rsid w:val="00BC190D"/>
    <w:rsid w:val="00C81F19"/>
    <w:rsid w:val="00C95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5"/>
        <o:r id="V:Rule2" type="connector" idref="#AutoShape 26"/>
        <o:r id="V:Rule3" type="connector" idref="#AutoShape 27"/>
        <o:r id="V:Rule4" type="connector" idref="#AutoShape 28"/>
        <o:r id="V:Rule5" type="connector" idref="#AutoShape 29"/>
        <o:r id="V:Rule6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4D5"/>
    <w:pPr>
      <w:ind w:left="720"/>
      <w:contextualSpacing/>
    </w:pPr>
  </w:style>
  <w:style w:type="table" w:styleId="a4">
    <w:name w:val="Table Grid"/>
    <w:basedOn w:val="a1"/>
    <w:uiPriority w:val="59"/>
    <w:rsid w:val="00007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0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4D5"/>
    <w:pPr>
      <w:ind w:left="720"/>
      <w:contextualSpacing/>
    </w:pPr>
  </w:style>
  <w:style w:type="table" w:styleId="a4">
    <w:name w:val="Table Grid"/>
    <w:basedOn w:val="a1"/>
    <w:uiPriority w:val="59"/>
    <w:rsid w:val="00007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72CB3-D14C-4995-B7EB-9629187A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 Рябоконь</dc:creator>
  <cp:keywords/>
  <dc:description/>
  <cp:lastModifiedBy>Admin</cp:lastModifiedBy>
  <cp:revision>8</cp:revision>
  <dcterms:created xsi:type="dcterms:W3CDTF">2019-11-07T09:20:00Z</dcterms:created>
  <dcterms:modified xsi:type="dcterms:W3CDTF">2020-01-16T12:45:00Z</dcterms:modified>
</cp:coreProperties>
</file>